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E3A8A"/>
          <w:sz w:val="36"/>
        </w:rPr>
        <w:t>BÁO CÁO HỌC THUẬT: MODULE KIỂM TRA ĐẦU VÀO THÍCH ỨNG (PCAT + NCD)</w:t>
      </w:r>
    </w:p>
    <w:p>
      <w:pPr>
        <w:spacing w:after="320"/>
        <w:jc w:val="center"/>
      </w:pPr>
      <w:r>
        <w:rPr>
          <w:rFonts w:ascii="Times New Roman" w:hAnsi="Times New Roman"/>
          <w:i/>
          <w:color w:val="64748B"/>
          <w:sz w:val="26"/>
        </w:rPr>
        <w:t>Hệ thống Đánh giá Năng lực &amp; Luyện thi TOEIC Cá nhân hóa - Đề tài GetGoals</w:t>
      </w:r>
    </w:p>
    <w:tbl>
      <w:tblPr>
        <w:tblW w:type="auto" w:w="0"/>
        <w:jc w:val="center"/>
        <w:tblLook w:firstColumn="1" w:firstRow="1" w:lastColumn="0" w:lastRow="0" w:noHBand="0" w:noVBand="1" w:val="04A0"/>
      </w:tblPr>
      <w:tblGrid>
        <w:gridCol w:w="4680"/>
        <w:gridCol w:w="4680"/>
      </w:tblGrid>
      <w:tr>
        <w:tc>
          <w:tcPr>
            <w:tcW w:type="dxa" w:w="4680"/>
            <w:shd w:fill="F1F5F9"/>
          </w:tcPr>
          <w:p>
            <w:pPr>
              <w:spacing w:after="40"/>
            </w:pPr>
            <w:r>
              <w:rPr>
                <w:b/>
                <w:sz w:val="20"/>
              </w:rPr>
              <w:t>Hệ thống:</w:t>
            </w:r>
            <w:r>
              <w:rPr>
                <w:sz w:val="20"/>
              </w:rPr>
              <w:t xml:space="preserve"> GetGoals Mobile App &amp; PCAT AI Engine</w:t>
            </w:r>
          </w:p>
        </w:tc>
        <w:tc>
          <w:tcPr>
            <w:tcW w:type="dxa" w:w="4680"/>
            <w:shd w:fill="F1F5F9"/>
          </w:tcPr>
          <w:p>
            <w:pPr>
              <w:spacing w:after="40"/>
            </w:pPr>
            <w:r>
              <w:rPr>
                <w:b/>
                <w:sz w:val="20"/>
              </w:rPr>
              <w:t>Mô hình cốt lõi:</w:t>
            </w:r>
            <w:r>
              <w:rPr>
                <w:sz w:val="20"/>
              </w:rPr>
              <w:t xml:space="preserve"> NCD (Neural Cognitive Diagnosis)</w:t>
            </w:r>
          </w:p>
        </w:tc>
      </w:tr>
      <w:tr>
        <w:tc>
          <w:tcPr>
            <w:tcW w:type="dxa" w:w="4680"/>
            <w:shd w:fill="F1F5F9"/>
          </w:tcPr>
          <w:p>
            <w:pPr>
              <w:spacing w:after="40"/>
            </w:pPr>
            <w:r>
              <w:rPr>
                <w:b/>
                <w:sz w:val="20"/>
              </w:rPr>
              <w:t>Thuật toán tổ hợp đề:</w:t>
            </w:r>
            <w:r>
              <w:rPr>
                <w:sz w:val="20"/>
              </w:rPr>
              <w:t xml:space="preserve"> NSGA-II &amp; Domain Constraint Pruning</w:t>
            </w:r>
          </w:p>
        </w:tc>
        <w:tc>
          <w:tcPr>
            <w:tcW w:type="dxa" w:w="4680"/>
            <w:shd w:fill="F1F5F9"/>
          </w:tcPr>
          <w:p>
            <w:pPr>
              <w:spacing w:after="40"/>
            </w:pPr>
            <w:r>
              <w:rPr>
                <w:b/>
                <w:sz w:val="20"/>
              </w:rPr>
              <w:t>Dữ liệu thực nghiệm:</w:t>
            </w:r>
            <w:r>
              <w:rPr>
                <w:sz w:val="20"/>
              </w:rPr>
              <w:t xml:space="preserve"> EdNet TOEIC (Dense 90-Item Benchmark)</w:t>
            </w:r>
          </w:p>
        </w:tc>
      </w:tr>
    </w:tbl>
    <w:p>
      <w:pPr>
        <w:spacing w:after="200"/>
      </w:pPr>
    </w:p>
    <w:p>
      <w:pPr>
        <w:spacing w:before="320" w:after="120"/>
      </w:pPr>
      <w:r>
        <w:rPr>
          <w:rFonts w:ascii="Times New Roman" w:hAnsi="Times New Roman"/>
          <w:b/>
          <w:color w:val="1E3A8A"/>
          <w:sz w:val="30"/>
        </w:rPr>
        <w:t>1. Giới thiệu &amp; Đặt vấn đề nghiên cứu</w:t>
      </w:r>
    </w:p>
    <w:p>
      <w:r>
        <w:rPr>
          <w:rFonts w:ascii="Times New Roman" w:hAnsi="Times New Roman"/>
          <w:i w:val="0"/>
        </w:rPr>
        <w:t>Trong quá trình học và luyện thi chứng chỉ TOEIC, việc xác định chính xác trình độ xuất phát và các lỗ hổng kiến thức của người học là bước tiền đề mang tính quyết định. Các phương pháp kiểm tra truyền thống thường áp dụng bài thi có cấu trúc cố định (Fixed-form testing) với số lượng câu hỏi lớn (thường từ 60 đến 100 câu, kéo dài 60–90 phút). Điều này dẫn đến hai nhược điểm nghiêm trọng:</w:t>
      </w:r>
    </w:p>
    <w:p>
      <w:pPr>
        <w:pStyle w:val="ListBullet"/>
        <w:spacing w:after="60"/>
      </w:pPr>
      <w:r>
        <w:rPr>
          <w:rFonts w:ascii="Times New Roman" w:hAnsi="Times New Roman"/>
          <w:b/>
        </w:rPr>
        <w:t xml:space="preserve">Thứ nhất: </w:t>
      </w:r>
      <w:r>
        <w:rPr>
          <w:rFonts w:ascii="Times New Roman" w:hAnsi="Times New Roman"/>
        </w:rPr>
        <w:t>Gây mệt mỏi và suy giảm động lực học tập (Learner Fatigue): Người học, đặc biệt là những người mới bắt đầu, dễ nản lòng khi phải làm một bài kiểm tra quá dài.</w:t>
      </w:r>
    </w:p>
    <w:p>
      <w:pPr>
        <w:pStyle w:val="ListBullet"/>
        <w:spacing w:after="60"/>
      </w:pPr>
      <w:r>
        <w:rPr>
          <w:rFonts w:ascii="Times New Roman" w:hAnsi="Times New Roman"/>
          <w:b/>
        </w:rPr>
        <w:t xml:space="preserve">Thứ hai: </w:t>
      </w:r>
      <w:r>
        <w:rPr>
          <w:rFonts w:ascii="Times New Roman" w:hAnsi="Times New Roman"/>
        </w:rPr>
        <w:t>Hiệu quả đo lường kém: Các câu hỏi quá dễ hoặc quá khó so với trình độ thực tế của thí sinh không mang lại nhiều thông tin thống kê để chẩn đoán năng lực.</w:t>
      </w:r>
    </w:p>
    <w:p>
      <w:r>
        <w:rPr>
          <w:rFonts w:ascii="Times New Roman" w:hAnsi="Times New Roman"/>
          <w:i w:val="0"/>
        </w:rPr>
        <w:t>Để giải quyết bài toán trên, đề tài GetGoals xây dựng Module Kiểm tra Đầu vào Thích ứng (Adaptive Diagnostic Module) kế thừa và phát triển từ công trình khoa học công bố tại KDD 2025: Personalized Computerized Adaptive Testing (PCAT) kết hợp với Mô hình Chẩn đoán Tri thức Nơ-ron (Neural Cognitive Diagnosis - NCD). Mục tiêu tối thượng của module là: Rút ngắn số lượng câu hỏi làm bài xuống chỉ còn 20 câu (giảm 70% thời gian làm bài), nhưng vẫn bảo đảm chẩn đoán toàn diện và chính xác năng lực trên toàn bộ 7 Part của bài thi TOEIC.</w:t>
      </w:r>
    </w:p>
    <w:p>
      <w:pPr>
        <w:spacing w:before="320" w:after="120"/>
      </w:pPr>
      <w:r>
        <w:rPr>
          <w:rFonts w:ascii="Times New Roman" w:hAnsi="Times New Roman"/>
          <w:b/>
          <w:color w:val="1E3A8A"/>
          <w:sz w:val="30"/>
        </w:rPr>
        <w:t>2. Bảng Giải thích Thuật ngữ Chuyên ngành (Glossary)</w:t>
      </w:r>
    </w:p>
    <w:p>
      <w:r>
        <w:rPr>
          <w:rFonts w:ascii="Times New Roman" w:hAnsi="Times New Roman"/>
          <w:i w:val="0"/>
        </w:rPr>
        <w:t>Nhằm bảo đảm tính minh xác khoa học và giúp hội đồng phản biện dễ dàng theo dõi, bảng dưới đây tổng hợp và giải thích chi tiết các thuật ngữ nền tảng được sử dụng trong hệ thống:</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E3A8A"/>
          </w:tcPr>
          <w:p>
            <w:pPr>
              <w:spacing w:after="40"/>
            </w:pPr>
            <w:r>
              <w:rPr>
                <w:b/>
                <w:color w:val="FFFFFF"/>
                <w:sz w:val="20"/>
              </w:rPr>
              <w:t>Thuật ngữ</w:t>
            </w:r>
          </w:p>
        </w:tc>
        <w:tc>
          <w:tcPr>
            <w:tcW w:type="dxa" w:w="2592"/>
            <w:shd w:fill="1E3A8A"/>
          </w:tcPr>
          <w:p>
            <w:pPr>
              <w:spacing w:after="40"/>
            </w:pPr>
            <w:r>
              <w:rPr>
                <w:b/>
                <w:color w:val="FFFFFF"/>
                <w:sz w:val="20"/>
              </w:rPr>
              <w:t>Tên tiếng Anh đầy đủ</w:t>
            </w:r>
          </w:p>
        </w:tc>
        <w:tc>
          <w:tcPr>
            <w:tcW w:type="dxa" w:w="5040"/>
            <w:shd w:fill="1E3A8A"/>
          </w:tcPr>
          <w:p>
            <w:pPr>
              <w:spacing w:after="40"/>
            </w:pPr>
            <w:r>
              <w:rPr>
                <w:b/>
                <w:color w:val="FFFFFF"/>
                <w:sz w:val="20"/>
              </w:rPr>
              <w:t>Định nghĩa &amp; Ý nghĩa học thuật</w:t>
            </w:r>
          </w:p>
        </w:tc>
      </w:tr>
      <w:tr>
        <w:tc>
          <w:tcPr>
            <w:tcW w:type="dxa" w:w="1728"/>
            <w:shd w:fill="F8FAFC"/>
          </w:tcPr>
          <w:p>
            <w:pPr>
              <w:spacing w:after="40"/>
            </w:pPr>
            <w:r>
              <w:rPr>
                <w:b/>
                <w:sz w:val="19"/>
              </w:rPr>
              <w:t>CAT</w:t>
            </w:r>
          </w:p>
        </w:tc>
        <w:tc>
          <w:tcPr>
            <w:tcW w:type="dxa" w:w="2592"/>
            <w:shd w:fill="F8FAFC"/>
          </w:tcPr>
          <w:p>
            <w:pPr>
              <w:spacing w:after="40"/>
            </w:pPr>
            <w:r>
              <w:rPr>
                <w:sz w:val="19"/>
              </w:rPr>
              <w:t>Computerized Adaptive Testing</w:t>
            </w:r>
          </w:p>
        </w:tc>
        <w:tc>
          <w:tcPr>
            <w:tcW w:type="dxa" w:w="5040"/>
            <w:shd w:fill="F8FAFC"/>
          </w:tcPr>
          <w:p>
            <w:pPr>
              <w:spacing w:after="40"/>
            </w:pPr>
            <w:r>
              <w:rPr>
                <w:sz w:val="19"/>
              </w:rPr>
              <w:t>Kiểm tra Thích ứng Máy tính: Hình thức kiểm tra mà độ khó của câu hỏi tiếp theo được điều chỉnh tự động theo thời gian thực dựa trên câu trả lời trước đó của thí sinh.</w:t>
            </w:r>
          </w:p>
        </w:tc>
      </w:tr>
      <w:tr>
        <w:tc>
          <w:tcPr>
            <w:tcW w:type="dxa" w:w="1728"/>
            <w:shd w:fill="FFFFFF"/>
          </w:tcPr>
          <w:p>
            <w:pPr>
              <w:spacing w:after="40"/>
            </w:pPr>
            <w:r>
              <w:rPr>
                <w:b/>
                <w:sz w:val="19"/>
              </w:rPr>
              <w:t>PCAT</w:t>
            </w:r>
          </w:p>
        </w:tc>
        <w:tc>
          <w:tcPr>
            <w:tcW w:type="dxa" w:w="2592"/>
            <w:shd w:fill="FFFFFF"/>
          </w:tcPr>
          <w:p>
            <w:pPr>
              <w:spacing w:after="40"/>
            </w:pPr>
            <w:r>
              <w:rPr>
                <w:sz w:val="19"/>
              </w:rPr>
              <w:t>Personalized Computerized Adaptive Testing</w:t>
            </w:r>
          </w:p>
        </w:tc>
        <w:tc>
          <w:tcPr>
            <w:tcW w:type="dxa" w:w="5040"/>
            <w:shd w:fill="FFFFFF"/>
          </w:tcPr>
          <w:p>
            <w:pPr>
              <w:spacing w:after="40"/>
            </w:pPr>
            <w:r>
              <w:rPr>
                <w:sz w:val="19"/>
              </w:rPr>
              <w:t>Kiểm tra Thích ứng Cá nhân hóa: Mô hình CAT hiện đại (KDD 2025) thiết kế cấu trúc bài thi 2 giai đoạn (Two-Stage) kết hợp thuật toán tối ưu đa mục tiêu để cân bằng độ dài bài thi và độ chính xác chẩn đoán.</w:t>
            </w:r>
          </w:p>
        </w:tc>
      </w:tr>
      <w:tr>
        <w:tc>
          <w:tcPr>
            <w:tcW w:type="dxa" w:w="1728"/>
            <w:shd w:fill="F8FAFC"/>
          </w:tcPr>
          <w:p>
            <w:pPr>
              <w:spacing w:after="40"/>
            </w:pPr>
            <w:r>
              <w:rPr>
                <w:b/>
                <w:sz w:val="19"/>
              </w:rPr>
              <w:t>NCD</w:t>
            </w:r>
          </w:p>
        </w:tc>
        <w:tc>
          <w:tcPr>
            <w:tcW w:type="dxa" w:w="2592"/>
            <w:shd w:fill="F8FAFC"/>
          </w:tcPr>
          <w:p>
            <w:pPr>
              <w:spacing w:after="40"/>
            </w:pPr>
            <w:r>
              <w:rPr>
                <w:sz w:val="19"/>
              </w:rPr>
              <w:t>Neural Cognitive Diagnosis</w:t>
            </w:r>
          </w:p>
        </w:tc>
        <w:tc>
          <w:tcPr>
            <w:tcW w:type="dxa" w:w="5040"/>
            <w:shd w:fill="F8FAFC"/>
          </w:tcPr>
          <w:p>
            <w:pPr>
              <w:spacing w:after="40"/>
            </w:pPr>
            <w:r>
              <w:rPr>
                <w:sz w:val="19"/>
              </w:rPr>
              <w:t>Chẩn đoán Tri thức Nơ-ron: Mô hình trí tuệ nhân tạo dùng mạng nơ-ron đa tầng thay thế lý thuyết IRT cổ điển, chẩn đoán mức độ thuần thục đa chiều của học sinh trên từng kỹ năng cụ thể.</w:t>
            </w:r>
          </w:p>
        </w:tc>
      </w:tr>
      <w:tr>
        <w:tc>
          <w:tcPr>
            <w:tcW w:type="dxa" w:w="1728"/>
            <w:shd w:fill="FFFFFF"/>
          </w:tcPr>
          <w:p>
            <w:pPr>
              <w:spacing w:after="40"/>
            </w:pPr>
            <w:r>
              <w:rPr>
                <w:b/>
                <w:sz w:val="19"/>
              </w:rPr>
              <w:t>Q-Matrix</w:t>
            </w:r>
          </w:p>
        </w:tc>
        <w:tc>
          <w:tcPr>
            <w:tcW w:type="dxa" w:w="2592"/>
            <w:shd w:fill="FFFFFF"/>
          </w:tcPr>
          <w:p>
            <w:pPr>
              <w:spacing w:after="40"/>
            </w:pPr>
            <w:r>
              <w:rPr>
                <w:sz w:val="19"/>
              </w:rPr>
              <w:t>Ma trận Liên kết Câu hỏi - Kỹ năng</w:t>
            </w:r>
          </w:p>
        </w:tc>
        <w:tc>
          <w:tcPr>
            <w:tcW w:type="dxa" w:w="5040"/>
            <w:shd w:fill="FFFFFF"/>
          </w:tcPr>
          <w:p>
            <w:pPr>
              <w:spacing w:after="40"/>
            </w:pPr>
            <w:r>
              <w:rPr>
                <w:sz w:val="19"/>
              </w:rPr>
              <w:t>Ma trận nhị phân kích thước (Số câu hỏi x Số kỹ năng). Q[j, k] = 1 nếu câu hỏi j yêu cầu kỹ năng k để giải quyết và bằng 0 nếu ngược lại.</w:t>
            </w:r>
          </w:p>
        </w:tc>
      </w:tr>
      <w:tr>
        <w:tc>
          <w:tcPr>
            <w:tcW w:type="dxa" w:w="1728"/>
            <w:shd w:fill="F8FAFC"/>
          </w:tcPr>
          <w:p>
            <w:pPr>
              <w:spacing w:after="40"/>
            </w:pPr>
            <w:r>
              <w:rPr>
                <w:b/>
                <w:sz w:val="19"/>
              </w:rPr>
              <w:t>IRT</w:t>
            </w:r>
          </w:p>
        </w:tc>
        <w:tc>
          <w:tcPr>
            <w:tcW w:type="dxa" w:w="2592"/>
            <w:shd w:fill="F8FAFC"/>
          </w:tcPr>
          <w:p>
            <w:pPr>
              <w:spacing w:after="40"/>
            </w:pPr>
            <w:r>
              <w:rPr>
                <w:sz w:val="19"/>
              </w:rPr>
              <w:t>Item Response Theory</w:t>
            </w:r>
          </w:p>
        </w:tc>
        <w:tc>
          <w:tcPr>
            <w:tcW w:type="dxa" w:w="5040"/>
            <w:shd w:fill="F8FAFC"/>
          </w:tcPr>
          <w:p>
            <w:pPr>
              <w:spacing w:after="40"/>
            </w:pPr>
            <w:r>
              <w:rPr>
                <w:sz w:val="19"/>
              </w:rPr>
              <w:t>Lý thuyết Ứng đáp Câu hỏi: Mô hình toán học cổ điển ước lượng năng lực học sinh qua một tham số vô hướng theta. Hạn chế là giả định đơn chiều, không chẩn đoán được đa kỹ năng.</w:t>
            </w:r>
          </w:p>
        </w:tc>
      </w:tr>
      <w:tr>
        <w:tc>
          <w:tcPr>
            <w:tcW w:type="dxa" w:w="1728"/>
            <w:shd w:fill="FFFFFF"/>
          </w:tcPr>
          <w:p>
            <w:pPr>
              <w:spacing w:after="40"/>
            </w:pPr>
            <w:r>
              <w:rPr>
                <w:b/>
                <w:sz w:val="19"/>
              </w:rPr>
              <w:t>Monotonicity Constraint</w:t>
            </w:r>
          </w:p>
        </w:tc>
        <w:tc>
          <w:tcPr>
            <w:tcW w:type="dxa" w:w="2592"/>
            <w:shd w:fill="FFFFFF"/>
          </w:tcPr>
          <w:p>
            <w:pPr>
              <w:spacing w:after="40"/>
            </w:pPr>
            <w:r>
              <w:rPr>
                <w:sz w:val="19"/>
              </w:rPr>
              <w:t>Ràng buộc Tính đơn điệu</w:t>
            </w:r>
          </w:p>
        </w:tc>
        <w:tc>
          <w:tcPr>
            <w:tcW w:type="dxa" w:w="5040"/>
            <w:shd w:fill="FFFFFF"/>
          </w:tcPr>
          <w:p>
            <w:pPr>
              <w:spacing w:after="40"/>
            </w:pPr>
            <w:r>
              <w:rPr>
                <w:sz w:val="19"/>
              </w:rPr>
              <w:t>Quy tắc toán học trong mạng NCD: Trọng số của mạng luôn dương, bảo đảm khi mức độ thuần thục kỹ năng của học sinh tăng lên thì xác suất làm đúng câu hỏi cũng tăng theo.</w:t>
            </w:r>
          </w:p>
        </w:tc>
      </w:tr>
      <w:tr>
        <w:tc>
          <w:tcPr>
            <w:tcW w:type="dxa" w:w="1728"/>
            <w:shd w:fill="F8FAFC"/>
          </w:tcPr>
          <w:p>
            <w:pPr>
              <w:spacing w:after="40"/>
            </w:pPr>
            <w:r>
              <w:rPr>
                <w:b/>
                <w:sz w:val="19"/>
              </w:rPr>
              <w:t>Student Latent Embedding</w:t>
            </w:r>
          </w:p>
        </w:tc>
        <w:tc>
          <w:tcPr>
            <w:tcW w:type="dxa" w:w="2592"/>
            <w:shd w:fill="F8FAFC"/>
          </w:tcPr>
          <w:p>
            <w:pPr>
              <w:spacing w:after="40"/>
            </w:pPr>
            <w:r>
              <w:rPr>
                <w:sz w:val="19"/>
              </w:rPr>
              <w:t>Vector Embedding Năng lực Tiềm ẩn (e_s)</w:t>
            </w:r>
          </w:p>
        </w:tc>
        <w:tc>
          <w:tcPr>
            <w:tcW w:type="dxa" w:w="5040"/>
            <w:shd w:fill="F8FAFC"/>
          </w:tcPr>
          <w:p>
            <w:pPr>
              <w:spacing w:after="40"/>
            </w:pPr>
            <w:r>
              <w:rPr>
                <w:sz w:val="19"/>
              </w:rPr>
              <w:t>Vector không gian tiềm ẩn của học sinh e_s thuộc R^K. Sau khi đi qua hàm kích hoạt Sigmoid, thu được vector năng lực alpha_s thuộc [0, 1]^K biểu thị độ thuần thục từng kỹ năng.</w:t>
            </w:r>
          </w:p>
        </w:tc>
      </w:tr>
      <w:tr>
        <w:tc>
          <w:tcPr>
            <w:tcW w:type="dxa" w:w="1728"/>
            <w:shd w:fill="FFFFFF"/>
          </w:tcPr>
          <w:p>
            <w:pPr>
              <w:spacing w:after="40"/>
            </w:pPr>
            <w:r>
              <w:rPr>
                <w:b/>
                <w:sz w:val="19"/>
              </w:rPr>
              <w:t>NSGA-II</w:t>
            </w:r>
          </w:p>
        </w:tc>
        <w:tc>
          <w:tcPr>
            <w:tcW w:type="dxa" w:w="2592"/>
            <w:shd w:fill="FFFFFF"/>
          </w:tcPr>
          <w:p>
            <w:pPr>
              <w:spacing w:after="40"/>
            </w:pPr>
            <w:r>
              <w:rPr>
                <w:sz w:val="19"/>
              </w:rPr>
              <w:t>Non-dominated Sorting Genetic Algorithm II</w:t>
            </w:r>
          </w:p>
        </w:tc>
        <w:tc>
          <w:tcPr>
            <w:tcW w:type="dxa" w:w="5040"/>
            <w:shd w:fill="FFFFFF"/>
          </w:tcPr>
          <w:p>
            <w:pPr>
              <w:spacing w:after="40"/>
            </w:pPr>
            <w:r>
              <w:rPr>
                <w:sz w:val="19"/>
              </w:rPr>
              <w:t>Thuật toán Di truyền Sắp xếp Không bị Thống trị: Thuật toán tối ưu hóa đa mục tiêu mô phỏng tiến hóa sinh học, tìm tập nghiệm tối ưu Pareto giữa các mục tiêu mâu thuẫn.</w:t>
            </w:r>
          </w:p>
        </w:tc>
      </w:tr>
      <w:tr>
        <w:tc>
          <w:tcPr>
            <w:tcW w:type="dxa" w:w="1728"/>
            <w:shd w:fill="F8FAFC"/>
          </w:tcPr>
          <w:p>
            <w:pPr>
              <w:spacing w:after="40"/>
            </w:pPr>
            <w:r>
              <w:rPr>
                <w:b/>
                <w:sz w:val="19"/>
              </w:rPr>
              <w:t>Pareto Frontier</w:t>
            </w:r>
          </w:p>
        </w:tc>
        <w:tc>
          <w:tcPr>
            <w:tcW w:type="dxa" w:w="2592"/>
            <w:shd w:fill="F8FAFC"/>
          </w:tcPr>
          <w:p>
            <w:pPr>
              <w:spacing w:after="40"/>
            </w:pPr>
            <w:r>
              <w:rPr>
                <w:sz w:val="19"/>
              </w:rPr>
              <w:t>Đường biên Tối ưu Pareto</w:t>
            </w:r>
          </w:p>
        </w:tc>
        <w:tc>
          <w:tcPr>
            <w:tcW w:type="dxa" w:w="5040"/>
            <w:shd w:fill="F8FAFC"/>
          </w:tcPr>
          <w:p>
            <w:pPr>
              <w:spacing w:after="40"/>
            </w:pPr>
            <w:r>
              <w:rPr>
                <w:sz w:val="19"/>
              </w:rPr>
              <w:t>Tập hợp các giải pháp tối ưu mà ở đó không một mục tiêu nào có thể cải thiện thêm mà không làm giảm sút một mục tiêu khác.</w:t>
            </w:r>
          </w:p>
        </w:tc>
      </w:tr>
      <w:tr>
        <w:tc>
          <w:tcPr>
            <w:tcW w:type="dxa" w:w="1728"/>
            <w:shd w:fill="FFFFFF"/>
          </w:tcPr>
          <w:p>
            <w:pPr>
              <w:spacing w:after="40"/>
            </w:pPr>
            <w:r>
              <w:rPr>
                <w:b/>
                <w:sz w:val="19"/>
              </w:rPr>
              <w:t>Item Exposure Rate</w:t>
            </w:r>
          </w:p>
        </w:tc>
        <w:tc>
          <w:tcPr>
            <w:tcW w:type="dxa" w:w="2592"/>
            <w:shd w:fill="FFFFFF"/>
          </w:tcPr>
          <w:p>
            <w:pPr>
              <w:spacing w:after="40"/>
            </w:pPr>
            <w:r>
              <w:rPr>
                <w:sz w:val="19"/>
              </w:rPr>
              <w:t>Tỷ lệ Phơi nhiễm Câu hỏi</w:t>
            </w:r>
          </w:p>
        </w:tc>
        <w:tc>
          <w:tcPr>
            <w:tcW w:type="dxa" w:w="5040"/>
            <w:shd w:fill="FFFFFF"/>
          </w:tcPr>
          <w:p>
            <w:pPr>
              <w:spacing w:after="40"/>
            </w:pPr>
            <w:r>
              <w:rPr>
                <w:sz w:val="19"/>
              </w:rPr>
              <w:t>Tần suất một câu hỏi xuất hiện trên tổng số lượt thi. Kiểm soát chỉ số này giúp tránh việc một vài câu hỏi bị lặp lại quá nhiều gây lộ đề thi.</w:t>
            </w:r>
          </w:p>
        </w:tc>
      </w:tr>
      <w:tr>
        <w:tc>
          <w:tcPr>
            <w:tcW w:type="dxa" w:w="1728"/>
            <w:shd w:fill="F8FAFC"/>
          </w:tcPr>
          <w:p>
            <w:pPr>
              <w:spacing w:after="40"/>
            </w:pPr>
            <w:r>
              <w:rPr>
                <w:b/>
                <w:sz w:val="19"/>
              </w:rPr>
              <w:t>Bundle Integrity</w:t>
            </w:r>
          </w:p>
        </w:tc>
        <w:tc>
          <w:tcPr>
            <w:tcW w:type="dxa" w:w="2592"/>
            <w:shd w:fill="F8FAFC"/>
          </w:tcPr>
          <w:p>
            <w:pPr>
              <w:spacing w:after="40"/>
            </w:pPr>
            <w:r>
              <w:rPr>
                <w:sz w:val="19"/>
              </w:rPr>
              <w:t>Tính Toàn vẹn Chùm câu hỏi</w:t>
            </w:r>
          </w:p>
        </w:tc>
        <w:tc>
          <w:tcPr>
            <w:tcW w:type="dxa" w:w="5040"/>
            <w:shd w:fill="F8FAFC"/>
          </w:tcPr>
          <w:p>
            <w:pPr>
              <w:spacing w:after="40"/>
            </w:pPr>
            <w:r>
              <w:rPr>
                <w:sz w:val="19"/>
              </w:rPr>
              <w:t>Quy tắc bảo đảm các câu hỏi chia sẻ chung một bài đọc (Part 6, 7) hoặc đoạn âm thanh (Part 3, 4) luôn được đưa vào cùng nhau, không bị xé lẻ.</w:t>
            </w:r>
          </w:p>
        </w:tc>
      </w:tr>
      <w:tr>
        <w:tc>
          <w:tcPr>
            <w:tcW w:type="dxa" w:w="1728"/>
            <w:shd w:fill="FFFFFF"/>
          </w:tcPr>
          <w:p>
            <w:pPr>
              <w:spacing w:after="40"/>
            </w:pPr>
            <w:r>
              <w:rPr>
                <w:b/>
                <w:sz w:val="19"/>
              </w:rPr>
              <w:t>Routing Threshold</w:t>
            </w:r>
          </w:p>
        </w:tc>
        <w:tc>
          <w:tcPr>
            <w:tcW w:type="dxa" w:w="2592"/>
            <w:shd w:fill="FFFFFF"/>
          </w:tcPr>
          <w:p>
            <w:pPr>
              <w:spacing w:after="40"/>
            </w:pPr>
            <w:r>
              <w:rPr>
                <w:sz w:val="19"/>
              </w:rPr>
              <w:t>Ngưỡng Phân nhánh Thích ứng</w:t>
            </w:r>
          </w:p>
        </w:tc>
        <w:tc>
          <w:tcPr>
            <w:tcW w:type="dxa" w:w="5040"/>
            <w:shd w:fill="FFFFFF"/>
          </w:tcPr>
          <w:p>
            <w:pPr>
              <w:spacing w:after="40"/>
            </w:pPr>
            <w:r>
              <w:rPr>
                <w:sz w:val="19"/>
              </w:rPr>
              <w:t>Giá trị ranh giới (trung vị) dùng để quyết định sau Giai đoạn 1 thí sinh sẽ được chuyển sang nhánh Đề Dễ (Stage 2A) hay Đề Khó (Stage 2B).</w:t>
            </w:r>
          </w:p>
        </w:tc>
      </w:tr>
      <w:tr>
        <w:tc>
          <w:tcPr>
            <w:tcW w:type="dxa" w:w="1728"/>
            <w:shd w:fill="F8FAFC"/>
          </w:tcPr>
          <w:p>
            <w:pPr>
              <w:spacing w:after="40"/>
            </w:pPr>
            <w:r>
              <w:rPr>
                <w:b/>
                <w:sz w:val="19"/>
              </w:rPr>
              <w:t>AUC / ACC</w:t>
            </w:r>
          </w:p>
        </w:tc>
        <w:tc>
          <w:tcPr>
            <w:tcW w:type="dxa" w:w="2592"/>
            <w:shd w:fill="F8FAFC"/>
          </w:tcPr>
          <w:p>
            <w:pPr>
              <w:spacing w:after="40"/>
            </w:pPr>
            <w:r>
              <w:rPr>
                <w:sz w:val="19"/>
              </w:rPr>
              <w:t>Area Under ROC Curve / Accuracy</w:t>
            </w:r>
          </w:p>
        </w:tc>
        <w:tc>
          <w:tcPr>
            <w:tcW w:type="dxa" w:w="5040"/>
            <w:shd w:fill="F8FAFC"/>
          </w:tcPr>
          <w:p>
            <w:pPr>
              <w:spacing w:after="40"/>
            </w:pPr>
            <w:r>
              <w:rPr>
                <w:sz w:val="19"/>
              </w:rPr>
              <w:t>Chỉ số đo lường độ chính xác chẩn đoán: AUC (độ phân biệt giữa đúng và sai) và ACC (tỷ lệ dự đoán chính xác câu trả lời của thí sinh trên các câu hỏi còn lại).</w:t>
            </w:r>
          </w:p>
        </w:tc>
      </w:tr>
      <w:tr>
        <w:tc>
          <w:tcPr>
            <w:tcW w:type="dxa" w:w="1728"/>
            <w:shd w:fill="FFFFFF"/>
          </w:tcPr>
          <w:p>
            <w:pPr>
              <w:spacing w:after="40"/>
            </w:pPr>
            <w:r>
              <w:rPr>
                <w:b/>
                <w:sz w:val="19"/>
              </w:rPr>
              <w:t>Concept Coverage</w:t>
            </w:r>
          </w:p>
        </w:tc>
        <w:tc>
          <w:tcPr>
            <w:tcW w:type="dxa" w:w="2592"/>
            <w:shd w:fill="FFFFFF"/>
          </w:tcPr>
          <w:p>
            <w:pPr>
              <w:spacing w:after="40"/>
            </w:pPr>
            <w:r>
              <w:rPr>
                <w:sz w:val="19"/>
              </w:rPr>
              <w:t>Độ bao phủ Tri thức (Coverage)</w:t>
            </w:r>
          </w:p>
        </w:tc>
        <w:tc>
          <w:tcPr>
            <w:tcW w:type="dxa" w:w="5040"/>
            <w:shd w:fill="FFFFFF"/>
          </w:tcPr>
          <w:p>
            <w:pPr>
              <w:spacing w:after="40"/>
            </w:pPr>
            <w:r>
              <w:rPr>
                <w:sz w:val="19"/>
              </w:rPr>
              <w:t>Tỷ lệ phần trăm các khái niệm/kỹ năng trong cây tri thức TOEIC được bài thi kiểm tra thực tế (hệ thống đạt 89.48%).</w:t>
            </w:r>
          </w:p>
        </w:tc>
      </w:tr>
    </w:tbl>
    <w:p>
      <w:pPr>
        <w:spacing w:after="200"/>
      </w:pPr>
    </w:p>
    <w:p>
      <w:pPr>
        <w:spacing w:before="320" w:after="120"/>
      </w:pPr>
      <w:r>
        <w:rPr>
          <w:rFonts w:ascii="Times New Roman" w:hAnsi="Times New Roman"/>
          <w:b/>
          <w:color w:val="1E3A8A"/>
          <w:sz w:val="30"/>
        </w:rPr>
        <w:t>3. Kiến trúc Hệ thống &amp; Sơ đồ Luồng Xử lý Chi tiết</w:t>
      </w:r>
    </w:p>
    <w:p>
      <w:r>
        <w:rPr>
          <w:rFonts w:ascii="Times New Roman" w:hAnsi="Times New Roman"/>
          <w:i w:val="0"/>
        </w:rPr>
        <w:t>Quy trình kiểm tra thích ứng và chẩn đoán năng lực trong GetGoals được tổ chức thành một chu trình khép kín gồm 5 giai đoạn liên kết chặt chẽ. Sơ đồ kiến trúc luồng dữ liệu được minh họa chi tiết trong Hình 1:</w:t>
      </w:r>
    </w:p>
    <w:p>
      <w:pPr>
        <w:spacing w:before="160" w:after="80"/>
        <w:jc w:val="center"/>
      </w:pPr>
      <w:r>
        <w:drawing>
          <wp:inline xmlns:a="http://schemas.openxmlformats.org/drawingml/2006/main" xmlns:pic="http://schemas.openxmlformats.org/drawingml/2006/picture">
            <wp:extent cx="5669280" cy="4147326"/>
            <wp:docPr id="1" name="Picture 1"/>
            <wp:cNvGraphicFramePr>
              <a:graphicFrameLocks noChangeAspect="1"/>
            </wp:cNvGraphicFramePr>
            <a:graphic>
              <a:graphicData uri="http://schemas.openxmlformats.org/drawingml/2006/picture">
                <pic:pic>
                  <pic:nvPicPr>
                    <pic:cNvPr id="0" name="pcat_detailed_workflow.png"/>
                    <pic:cNvPicPr/>
                  </pic:nvPicPr>
                  <pic:blipFill>
                    <a:blip r:embed="rId9"/>
                    <a:stretch>
                      <a:fillRect/>
                    </a:stretch>
                  </pic:blipFill>
                  <pic:spPr>
                    <a:xfrm>
                      <a:off x="0" y="0"/>
                      <a:ext cx="5669280" cy="4147326"/>
                    </a:xfrm>
                    <a:prstGeom prst="rect"/>
                  </pic:spPr>
                </pic:pic>
              </a:graphicData>
            </a:graphic>
          </wp:inline>
        </w:drawing>
      </w:r>
    </w:p>
    <w:p>
      <w:pPr>
        <w:spacing w:after="240"/>
        <w:jc w:val="center"/>
      </w:pPr>
      <w:r>
        <w:rPr>
          <w:i/>
          <w:color w:val="475569"/>
          <w:sz w:val="20"/>
        </w:rPr>
        <w:t>Hình 1: Sơ đồ luồng xử lý chi tiết của Module Kiểm tra Thích ứng (PCAT) và Động cơ Chẩn đoán Tri thức (NCD)</w:t>
      </w:r>
    </w:p>
    <w:p>
      <w:pPr>
        <w:spacing w:before="240" w:after="80"/>
      </w:pPr>
      <w:r>
        <w:rPr>
          <w:rFonts w:ascii="Times New Roman" w:hAnsi="Times New Roman"/>
          <w:b/>
          <w:color w:val="2563EB"/>
          <w:sz w:val="26"/>
        </w:rPr>
        <w:t>Chi tiết 5 bước trong luồng xử lý của hệ thống:</w:t>
      </w:r>
    </w:p>
    <w:p>
      <w:r>
        <w:rPr>
          <w:rFonts w:ascii="Times New Roman" w:hAnsi="Times New Roman"/>
          <w:b/>
        </w:rPr>
        <w:t xml:space="preserve">Bước 1 - Khởi tạo phiên &amp; Thực hiện Đề Cơ sở (Stage 1): </w:t>
      </w:r>
      <w:r>
        <w:rPr>
          <w:rFonts w:ascii="Times New Roman" w:hAnsi="Times New Roman"/>
          <w:i w:val="0"/>
        </w:rPr>
        <w:t>Hệ thống khởi tạo một phiên làm bài duy nhất (Session-based) có thời gian sống (TTL). Thí sinh nhận đề Giai đoạn 1 gồm 10 câu hỏi có độ khó trung bình (Medium), trong đó cân bằng chính xác 5 câu Listening (Part 1: 1 câu, Part 2: 1 câu, Part 3: 1 chùm 3 câu) và 5 câu Reading (Part 5: 1 câu, Part 6: 1 chùm 4 câu).</w:t>
      </w:r>
    </w:p>
    <w:p>
      <w:r>
        <w:rPr>
          <w:rFonts w:ascii="Times New Roman" w:hAnsi="Times New Roman"/>
          <w:b/>
        </w:rPr>
        <w:t xml:space="preserve">Bước 2 - Phân tích Thích ứng &amp; Định tuyến NCD (Adaptive Routing): </w:t>
      </w:r>
      <w:r>
        <w:rPr>
          <w:rFonts w:ascii="Times New Roman" w:hAnsi="Times New Roman"/>
          <w:i w:val="0"/>
        </w:rPr>
        <w:t>Khi thí sinh gửi 10 câu trả lời của Stage 1 lên endpoint /api/pcat/route, Động cơ NCD khởi tạo vector embedding học sinh e_s và tối ưu hóa gradient qua 10 epochs (Adam, lr=0.05). Điểm năng lực tiềm ẩn trung bình được đối chiếu với Ngưỡng phân nhánh (Threshold = 0.5294).</w:t>
      </w:r>
    </w:p>
    <w:p>
      <w:r>
        <w:rPr>
          <w:rFonts w:ascii="Times New Roman" w:hAnsi="Times New Roman"/>
          <w:b/>
        </w:rPr>
        <w:t xml:space="preserve">Bước 3 - Thực hiện Giai đoạn 2 Phân tầng (Stage 2): </w:t>
      </w:r>
      <w:r>
        <w:rPr>
          <w:rFonts w:ascii="Times New Roman" w:hAnsi="Times New Roman"/>
          <w:i w:val="0"/>
        </w:rPr>
        <w:t>Dựa trên kết quả định tuyến: Nếu điểm thuần thục &lt; 0.5294, thí sinh được chuyển sang Chặng 2A (Đề Cơ bản - Easy, độ khó -0.032). Nếu điểm thuần thục &gt;= 0.5294, thí sinh được chuyển sang Chặng 2B (Đề Nâng cao - Hard, độ khó +0.185). Cả hai nhánh đều bổ sung các câu hỏi của Part 4 và Part 7.</w:t>
      </w:r>
    </w:p>
    <w:p>
      <w:r>
        <w:rPr>
          <w:rFonts w:ascii="Times New Roman" w:hAnsi="Times New Roman"/>
          <w:b/>
        </w:rPr>
        <w:t xml:space="preserve">Bước 4 - Cập nhật Trực tuyến Mô hình NCD (Online Fine-Tuning): </w:t>
      </w:r>
      <w:r>
        <w:rPr>
          <w:rFonts w:ascii="Times New Roman" w:hAnsi="Times New Roman"/>
          <w:i w:val="0"/>
        </w:rPr>
        <w:t>Thí sinh hoàn tất tổng cộng 20 câu hỏi và gửi lên endpoint /api/pcat/diagnose. Mạng NCD đóng băng toàn bộ trọng số câu hỏi và thực hiện cập nhật mịn (Fine-tuning) vector năng lực e_s trên toàn bộ 20 tương tác thực tế.</w:t>
      </w:r>
    </w:p>
    <w:p>
      <w:r>
        <w:rPr>
          <w:rFonts w:ascii="Times New Roman" w:hAnsi="Times New Roman"/>
          <w:b/>
        </w:rPr>
        <w:t xml:space="preserve">Bước 5 - Kết xuất Báo cáo Chẩn đoán Đa chiều: </w:t>
      </w:r>
      <w:r>
        <w:rPr>
          <w:rFonts w:ascii="Times New Roman" w:hAnsi="Times New Roman"/>
          <w:i w:val="0"/>
        </w:rPr>
        <w:t>Hệ thống giải mã vector alpha_s thành báo cáo năng lực 3 lớp: Bảng điểm 7 Part TOEIC, Biểu đồ Radar 24 kỹ năng và Top 3 Điểm mạnh/Điểm yếu để phục vụ thuật toán cá nhân hóa lộ trình học.</w:t>
      </w:r>
    </w:p>
    <w:p>
      <w:pPr>
        <w:spacing w:before="320" w:after="120"/>
      </w:pPr>
      <w:r>
        <w:rPr>
          <w:rFonts w:ascii="Times New Roman" w:hAnsi="Times New Roman"/>
          <w:b/>
          <w:color w:val="1E3A8A"/>
          <w:sz w:val="30"/>
        </w:rPr>
        <w:t>4. Thuật toán Tổ hợp Đề Đa mục tiêu &amp; Ràng buộc Sư phạm TOEIC</w:t>
      </w:r>
    </w:p>
    <w:p>
      <w:r>
        <w:rPr>
          <w:rFonts w:ascii="Times New Roman" w:hAnsi="Times New Roman"/>
          <w:i w:val="0"/>
        </w:rPr>
        <w:t>Quá trình tổ hợp bộ đề 30 câu (10 Medium, 10 Easy, 10 Hard) từ ngân hàng 90 câu được giải quyết như một bài toán Tối ưu hóa Đa mục tiêu có ràng buộc khắt khe:</w:t>
      </w:r>
    </w:p>
    <w:p>
      <w:pPr>
        <w:spacing w:before="240" w:after="80"/>
      </w:pPr>
      <w:r>
        <w:rPr>
          <w:rFonts w:ascii="Times New Roman" w:hAnsi="Times New Roman"/>
          <w:b/>
          <w:color w:val="2563EB"/>
          <w:sz w:val="26"/>
        </w:rPr>
        <w:t>a. Các hàm mục tiêu toán học:</w:t>
      </w:r>
    </w:p>
    <w:p>
      <w:pPr>
        <w:pStyle w:val="ListBullet"/>
        <w:spacing w:after="60"/>
      </w:pPr>
      <w:r>
        <w:rPr>
          <w:rFonts w:ascii="Times New Roman" w:hAnsi="Times New Roman"/>
          <w:b/>
        </w:rPr>
        <w:t xml:space="preserve">Mục tiêu 1 (f1 - Maximize Diagnostic Accuracy): </w:t>
      </w:r>
      <w:r>
        <w:rPr>
          <w:rFonts w:ascii="Times New Roman" w:hAnsi="Times New Roman"/>
        </w:rPr>
        <w:t>Tối đa hóa diện tích dưới đường cong ROC và độ chính xác dự đoán của NCD trên tập 242 học sinh kiểm định.</w:t>
      </w:r>
    </w:p>
    <w:p>
      <w:pPr>
        <w:pStyle w:val="ListBullet"/>
        <w:spacing w:after="60"/>
      </w:pPr>
      <w:r>
        <w:rPr>
          <w:rFonts w:ascii="Times New Roman" w:hAnsi="Times New Roman"/>
          <w:b/>
        </w:rPr>
        <w:t xml:space="preserve">Mục tiêu 2 (f2 - Maximize Concept Coverage): </w:t>
      </w:r>
      <w:r>
        <w:rPr>
          <w:rFonts w:ascii="Times New Roman" w:hAnsi="Times New Roman"/>
        </w:rPr>
        <w:t>Tối đa hóa tỷ lệ các khái niệm trong ma trận Q-matrix được bài thi chạm tới (đạt 89.48%).</w:t>
      </w:r>
    </w:p>
    <w:p>
      <w:pPr>
        <w:pStyle w:val="ListBullet"/>
        <w:spacing w:after="60"/>
      </w:pPr>
      <w:r>
        <w:rPr>
          <w:rFonts w:ascii="Times New Roman" w:hAnsi="Times New Roman"/>
          <w:b/>
        </w:rPr>
        <w:t xml:space="preserve">Mục tiêu 3 (f3 - Minimize Item Exposure): </w:t>
      </w:r>
      <w:r>
        <w:rPr>
          <w:rFonts w:ascii="Times New Roman" w:hAnsi="Times New Roman"/>
        </w:rPr>
        <w:t>Tối thiểu hóa độ lệch chuẩn tần suất xuất hiện của các câu hỏi nhằm bảo đảm an toàn đề thi.</w:t>
      </w:r>
    </w:p>
    <w:p>
      <w:pPr>
        <w:spacing w:before="240" w:after="80"/>
      </w:pPr>
      <w:r>
        <w:rPr>
          <w:rFonts w:ascii="Times New Roman" w:hAnsi="Times New Roman"/>
          <w:b/>
          <w:color w:val="2563EB"/>
          <w:sz w:val="26"/>
        </w:rPr>
        <w:t>b. Hệ thống 4 Ràng buộc Sư phạm Cải tiến:</w:t>
      </w:r>
    </w:p>
    <w:p>
      <w:pPr>
        <w:pStyle w:val="ListBullet"/>
        <w:spacing w:after="60"/>
      </w:pPr>
      <w:r>
        <w:rPr>
          <w:rFonts w:ascii="Times New Roman" w:hAnsi="Times New Roman"/>
          <w:b/>
        </w:rPr>
        <w:t xml:space="preserve">1. Ràng buộc Bảo toàn Chùm (Bundle Integrity): </w:t>
      </w:r>
      <w:r>
        <w:rPr>
          <w:rFonts w:ascii="Times New Roman" w:hAnsi="Times New Roman"/>
        </w:rPr>
        <w:t>Các câu hỏi thuộc cùng một đoạn hội thoại (Part 3, 4) hoặc bài đọc (Part 6, 7) tuyệt đối không bị tách rời.</w:t>
      </w:r>
    </w:p>
    <w:p>
      <w:pPr>
        <w:pStyle w:val="ListBullet"/>
        <w:spacing w:after="60"/>
      </w:pPr>
      <w:r>
        <w:rPr>
          <w:rFonts w:ascii="Times New Roman" w:hAnsi="Times New Roman"/>
          <w:b/>
        </w:rPr>
        <w:t xml:space="preserve">2. Ràng buộc Cân bằng Nghe - Đọc: </w:t>
      </w:r>
      <w:r>
        <w:rPr>
          <w:rFonts w:ascii="Times New Roman" w:hAnsi="Times New Roman"/>
        </w:rPr>
        <w:t>Mỗi giai đoạn 10 câu luôn có đúng 5 câu Nghe và 5 câu Đọc, bảo đảm cấu trúc cân đối của đề TOEIC.</w:t>
      </w:r>
    </w:p>
    <w:p>
      <w:pPr>
        <w:pStyle w:val="ListBullet"/>
        <w:spacing w:after="60"/>
      </w:pPr>
      <w:r>
        <w:rPr>
          <w:rFonts w:ascii="Times New Roman" w:hAnsi="Times New Roman"/>
          <w:b/>
        </w:rPr>
        <w:t xml:space="preserve">3. Ràng buộc Bao phủ Toàn diện 7 Part: </w:t>
      </w:r>
      <w:r>
        <w:rPr>
          <w:rFonts w:ascii="Times New Roman" w:hAnsi="Times New Roman"/>
        </w:rPr>
        <w:t>Cả lộ trình Dễ (S1 + S2A) và lộ trình Khó (S1 + S2B) đều bảo đảm có mặt đầy đủ từ Part 1 đến Part 7, khắc phục triệt để nhược điểm thiếu Part (N/A) của bài báo gốc.</w:t>
      </w:r>
    </w:p>
    <w:p>
      <w:pPr>
        <w:pStyle w:val="ListBullet"/>
        <w:spacing w:after="60"/>
      </w:pPr>
      <w:r>
        <w:rPr>
          <w:rFonts w:ascii="Times New Roman" w:hAnsi="Times New Roman"/>
          <w:b/>
        </w:rPr>
        <w:t xml:space="preserve">4. Ràng buộc Phân tầng Độ khó: </w:t>
      </w:r>
      <w:r>
        <w:rPr>
          <w:rFonts w:ascii="Times New Roman" w:hAnsi="Times New Roman"/>
        </w:rPr>
        <w:t>Độ khó trung bình đo lường bởi NCD bảo đảm thứ tự nghiêm ngặt: Diff(Stage 2A) = -0.032 &lt; Diff(Stage 1) = -0.000 &lt; Diff(Stage 2B) = +0.185.</w:t>
      </w:r>
    </w:p>
    <w:p>
      <w:pPr>
        <w:spacing w:before="240" w:after="80"/>
      </w:pPr>
      <w:r>
        <w:rPr>
          <w:rFonts w:ascii="Times New Roman" w:hAnsi="Times New Roman"/>
          <w:b/>
          <w:color w:val="2563EB"/>
          <w:sz w:val="26"/>
        </w:rPr>
        <w:t>c. Đóng góp Kỹ thuật: Heuristic Constraint Pruning</w:t>
      </w:r>
    </w:p>
    <w:p>
      <w:r>
        <w:rPr>
          <w:rFonts w:ascii="Times New Roman" w:hAnsi="Times New Roman"/>
          <w:i w:val="0"/>
        </w:rPr>
        <w:t>Trong mã nguồn gốc của bài báo, thuật toán NSGA-II phải chạy qua 100 thế hệ ngẫu nhiên, mất 2.4 giờ (8.612 giây). Đề tài GetGoals đã áp dụng kỹ thuật Cắt tỉa Không gian Ràng buộc (Heuristic Constraint Pruning): Nhận diện các đơn vị bất biến (54 chùm đề), sàng lọc trước các tổ hợp vi phạm ràng buộc sư phạm để chỉ còn 1.440 cấu hình hợp lệ, sau đó đưa vào hàm Fitness NCD đánh giá trực tiếp. Kỹ thuật này giúp tìm ra bộ đề tối ưu tuyệt đối chỉ trong 26 giây mà chất lượng mô hình tương đương hoàn toàn.</w:t>
      </w:r>
    </w:p>
    <w:p>
      <w:pPr>
        <w:spacing w:before="320" w:after="120"/>
      </w:pPr>
      <w:r>
        <w:rPr>
          <w:rFonts w:ascii="Times New Roman" w:hAnsi="Times New Roman"/>
          <w:b/>
          <w:color w:val="1E3A8A"/>
          <w:sz w:val="30"/>
        </w:rPr>
        <w:t>5. Kết quả Thực nghiệm &amp; So sánh Đối chuẩn</w:t>
      </w:r>
    </w:p>
    <w:p>
      <w:r>
        <w:rPr>
          <w:rFonts w:ascii="Times New Roman" w:hAnsi="Times New Roman"/>
          <w:i w:val="0"/>
        </w:rPr>
        <w:t>Hiệu năng của bộ đề tối ưu 7 Part trong GetGoals được đánh giá đối chuẩn (Benchmark) với các phương pháp khác trên tập dữ liệu chuẩn Dense EdNet TOEIC (Seed 20):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1E3A8A"/>
          </w:tcPr>
          <w:p>
            <w:pPr>
              <w:spacing w:after="40"/>
            </w:pPr>
            <w:r>
              <w:rPr>
                <w:b/>
                <w:color w:val="FFFFFF"/>
                <w:sz w:val="19"/>
              </w:rPr>
              <w:t>Phương pháp</w:t>
            </w:r>
          </w:p>
        </w:tc>
        <w:tc>
          <w:tcPr>
            <w:tcW w:type="dxa" w:w="1152"/>
            <w:shd w:fill="1E3A8A"/>
          </w:tcPr>
          <w:p>
            <w:pPr>
              <w:spacing w:after="40"/>
            </w:pPr>
            <w:r>
              <w:rPr>
                <w:b/>
                <w:color w:val="FFFFFF"/>
                <w:sz w:val="19"/>
              </w:rPr>
              <w:t>Độ dài test</w:t>
            </w:r>
          </w:p>
        </w:tc>
        <w:tc>
          <w:tcPr>
            <w:tcW w:type="dxa" w:w="1008"/>
            <w:shd w:fill="1E3A8A"/>
          </w:tcPr>
          <w:p>
            <w:pPr>
              <w:spacing w:after="40"/>
            </w:pPr>
            <w:r>
              <w:rPr>
                <w:b/>
                <w:color w:val="FFFFFF"/>
                <w:sz w:val="19"/>
              </w:rPr>
              <w:t>AUC</w:t>
            </w:r>
          </w:p>
        </w:tc>
        <w:tc>
          <w:tcPr>
            <w:tcW w:type="dxa" w:w="1008"/>
            <w:shd w:fill="1E3A8A"/>
          </w:tcPr>
          <w:p>
            <w:pPr>
              <w:spacing w:after="40"/>
            </w:pPr>
            <w:r>
              <w:rPr>
                <w:b/>
                <w:color w:val="FFFFFF"/>
                <w:sz w:val="19"/>
              </w:rPr>
              <w:t>ACC</w:t>
            </w:r>
          </w:p>
        </w:tc>
        <w:tc>
          <w:tcPr>
            <w:tcW w:type="dxa" w:w="1584"/>
            <w:shd w:fill="1E3A8A"/>
          </w:tcPr>
          <w:p>
            <w:pPr>
              <w:spacing w:after="40"/>
            </w:pPr>
            <w:r>
              <w:rPr>
                <w:b/>
                <w:color w:val="FFFFFF"/>
                <w:sz w:val="19"/>
              </w:rPr>
              <w:t>Độ phủ (Coverage)</w:t>
            </w:r>
          </w:p>
        </w:tc>
        <w:tc>
          <w:tcPr>
            <w:tcW w:type="dxa" w:w="2592"/>
            <w:shd w:fill="1E3A8A"/>
          </w:tcPr>
          <w:p>
            <w:pPr>
              <w:spacing w:after="40"/>
            </w:pPr>
            <w:r>
              <w:rPr>
                <w:b/>
                <w:color w:val="FFFFFF"/>
                <w:sz w:val="19"/>
              </w:rPr>
              <w:t>Khả năng Đánh giá 7 Part</w:t>
            </w:r>
          </w:p>
        </w:tc>
      </w:tr>
      <w:tr>
        <w:tc>
          <w:tcPr>
            <w:tcW w:type="dxa" w:w="2592"/>
            <w:shd w:fill="F8FAFC"/>
          </w:tcPr>
          <w:p>
            <w:pPr>
              <w:spacing w:after="40"/>
            </w:pPr>
            <w:r>
              <w:rPr>
                <w:sz w:val="18"/>
              </w:rPr>
              <w:t>Bộ đề Ngẫu nhiên (Random Baseline)</w:t>
            </w:r>
          </w:p>
        </w:tc>
        <w:tc>
          <w:tcPr>
            <w:tcW w:type="dxa" w:w="1152"/>
            <w:shd w:fill="F8FAFC"/>
          </w:tcPr>
          <w:p>
            <w:pPr>
              <w:spacing w:after="40"/>
            </w:pPr>
            <w:r>
              <w:rPr>
                <w:sz w:val="18"/>
              </w:rPr>
              <w:t>20 câu</w:t>
            </w:r>
          </w:p>
        </w:tc>
        <w:tc>
          <w:tcPr>
            <w:tcW w:type="dxa" w:w="1008"/>
            <w:shd w:fill="F8FAFC"/>
          </w:tcPr>
          <w:p>
            <w:pPr>
              <w:spacing w:after="40"/>
            </w:pPr>
            <w:r>
              <w:rPr>
                <w:sz w:val="18"/>
              </w:rPr>
              <w:t>0.7012</w:t>
            </w:r>
          </w:p>
        </w:tc>
        <w:tc>
          <w:tcPr>
            <w:tcW w:type="dxa" w:w="1008"/>
            <w:shd w:fill="F8FAFC"/>
          </w:tcPr>
          <w:p>
            <w:pPr>
              <w:spacing w:after="40"/>
            </w:pPr>
            <w:r>
              <w:rPr>
                <w:sz w:val="18"/>
              </w:rPr>
              <w:t>0.6480</w:t>
            </w:r>
          </w:p>
        </w:tc>
        <w:tc>
          <w:tcPr>
            <w:tcW w:type="dxa" w:w="1584"/>
            <w:shd w:fill="F8FAFC"/>
          </w:tcPr>
          <w:p>
            <w:pPr>
              <w:spacing w:after="40"/>
            </w:pPr>
            <w:r>
              <w:rPr>
                <w:sz w:val="18"/>
              </w:rPr>
              <w:t>72.40%</w:t>
            </w:r>
          </w:p>
        </w:tc>
        <w:tc>
          <w:tcPr>
            <w:tcW w:type="dxa" w:w="2592"/>
            <w:shd w:fill="F8FAFC"/>
          </w:tcPr>
          <w:p>
            <w:pPr>
              <w:spacing w:after="40"/>
            </w:pPr>
            <w:r>
              <w:rPr>
                <w:sz w:val="18"/>
              </w:rPr>
              <w:t>Ngẫu nhiên (Thiếu nhiều Part)</w:t>
            </w:r>
          </w:p>
        </w:tc>
      </w:tr>
      <w:tr>
        <w:tc>
          <w:tcPr>
            <w:tcW w:type="dxa" w:w="2592"/>
            <w:shd w:fill="FFFFFF"/>
          </w:tcPr>
          <w:p>
            <w:pPr>
              <w:spacing w:after="40"/>
            </w:pPr>
            <w:r>
              <w:rPr>
                <w:sz w:val="18"/>
              </w:rPr>
              <w:t>Mô hình PCAT Gốc (KDD 2025)</w:t>
            </w:r>
          </w:p>
        </w:tc>
        <w:tc>
          <w:tcPr>
            <w:tcW w:type="dxa" w:w="1152"/>
            <w:shd w:fill="FFFFFF"/>
          </w:tcPr>
          <w:p>
            <w:pPr>
              <w:spacing w:after="40"/>
            </w:pPr>
            <w:r>
              <w:rPr>
                <w:sz w:val="18"/>
              </w:rPr>
              <w:t>20 câu</w:t>
            </w:r>
          </w:p>
        </w:tc>
        <w:tc>
          <w:tcPr>
            <w:tcW w:type="dxa" w:w="1008"/>
            <w:shd w:fill="FFFFFF"/>
          </w:tcPr>
          <w:p>
            <w:pPr>
              <w:spacing w:after="40"/>
            </w:pPr>
            <w:r>
              <w:rPr>
                <w:sz w:val="18"/>
              </w:rPr>
              <w:t>0.7180</w:t>
            </w:r>
          </w:p>
        </w:tc>
        <w:tc>
          <w:tcPr>
            <w:tcW w:type="dxa" w:w="1008"/>
            <w:shd w:fill="FFFFFF"/>
          </w:tcPr>
          <w:p>
            <w:pPr>
              <w:spacing w:after="40"/>
            </w:pPr>
            <w:r>
              <w:rPr>
                <w:sz w:val="18"/>
              </w:rPr>
              <w:t>0.6720</w:t>
            </w:r>
          </w:p>
        </w:tc>
        <w:tc>
          <w:tcPr>
            <w:tcW w:type="dxa" w:w="1584"/>
            <w:shd w:fill="FFFFFF"/>
          </w:tcPr>
          <w:p>
            <w:pPr>
              <w:spacing w:after="40"/>
            </w:pPr>
            <w:r>
              <w:rPr>
                <w:sz w:val="18"/>
              </w:rPr>
              <w:t>85.20%</w:t>
            </w:r>
          </w:p>
        </w:tc>
        <w:tc>
          <w:tcPr>
            <w:tcW w:type="dxa" w:w="2592"/>
            <w:shd w:fill="FFFFFF"/>
          </w:tcPr>
          <w:p>
            <w:pPr>
              <w:spacing w:after="40"/>
            </w:pPr>
            <w:r>
              <w:rPr>
                <w:sz w:val="18"/>
              </w:rPr>
              <w:t>Thiếu Part 4, 5, 6 ở nhánh Dễ (N/A)</w:t>
            </w:r>
          </w:p>
        </w:tc>
      </w:tr>
      <w:tr>
        <w:tc>
          <w:tcPr>
            <w:tcW w:type="dxa" w:w="2592"/>
            <w:shd w:fill="ECFDF5"/>
          </w:tcPr>
          <w:p>
            <w:pPr>
              <w:spacing w:after="40"/>
            </w:pPr>
            <w:r>
              <w:rPr>
                <w:b/>
                <w:sz w:val="18"/>
              </w:rPr>
              <w:t>Mô hình GetGoals Cải tiến (Đề tài)</w:t>
            </w:r>
          </w:p>
        </w:tc>
        <w:tc>
          <w:tcPr>
            <w:tcW w:type="dxa" w:w="1152"/>
            <w:shd w:fill="ECFDF5"/>
          </w:tcPr>
          <w:p>
            <w:pPr>
              <w:spacing w:after="40"/>
            </w:pPr>
            <w:r>
              <w:rPr>
                <w:b/>
                <w:sz w:val="18"/>
              </w:rPr>
              <w:t>20 câu</w:t>
            </w:r>
          </w:p>
        </w:tc>
        <w:tc>
          <w:tcPr>
            <w:tcW w:type="dxa" w:w="1008"/>
            <w:shd w:fill="ECFDF5"/>
          </w:tcPr>
          <w:p>
            <w:pPr>
              <w:spacing w:after="40"/>
            </w:pPr>
            <w:r>
              <w:rPr>
                <w:b/>
                <w:sz w:val="18"/>
              </w:rPr>
              <w:t>0.7190</w:t>
            </w:r>
          </w:p>
        </w:tc>
        <w:tc>
          <w:tcPr>
            <w:tcW w:type="dxa" w:w="1008"/>
            <w:shd w:fill="ECFDF5"/>
          </w:tcPr>
          <w:p>
            <w:pPr>
              <w:spacing w:after="40"/>
            </w:pPr>
            <w:r>
              <w:rPr>
                <w:b/>
                <w:sz w:val="18"/>
              </w:rPr>
              <w:t>0.6778</w:t>
            </w:r>
          </w:p>
        </w:tc>
        <w:tc>
          <w:tcPr>
            <w:tcW w:type="dxa" w:w="1584"/>
            <w:shd w:fill="ECFDF5"/>
          </w:tcPr>
          <w:p>
            <w:pPr>
              <w:spacing w:after="40"/>
            </w:pPr>
            <w:r>
              <w:rPr>
                <w:b/>
                <w:sz w:val="18"/>
              </w:rPr>
              <w:t>89.48%</w:t>
            </w:r>
          </w:p>
        </w:tc>
        <w:tc>
          <w:tcPr>
            <w:tcW w:type="dxa" w:w="2592"/>
            <w:shd w:fill="ECFDF5"/>
          </w:tcPr>
          <w:p>
            <w:pPr>
              <w:spacing w:after="40"/>
            </w:pPr>
            <w:r>
              <w:rPr>
                <w:b/>
                <w:sz w:val="18"/>
              </w:rPr>
              <w:t>Phủ trọn 100% cả 7 Part (0 N/A)</w:t>
            </w:r>
          </w:p>
        </w:tc>
      </w:tr>
    </w:tbl>
    <w:p>
      <w:pPr>
        <w:spacing w:after="200"/>
      </w:pPr>
    </w:p>
    <w:p>
      <w:pPr>
        <w:spacing w:before="240" w:after="80"/>
      </w:pPr>
      <w:r>
        <w:rPr>
          <w:rFonts w:ascii="Times New Roman" w:hAnsi="Times New Roman"/>
          <w:b/>
          <w:color w:val="2563EB"/>
          <w:sz w:val="26"/>
        </w:rPr>
        <w:t>Nhận xét học thuật:</w:t>
      </w:r>
    </w:p>
    <w:p>
      <w:pPr>
        <w:pStyle w:val="ListBullet"/>
        <w:spacing w:after="60"/>
      </w:pPr>
      <w:r>
        <w:rPr>
          <w:rFonts w:ascii="Times New Roman" w:hAnsi="Times New Roman"/>
          <w:b/>
        </w:rPr>
        <w:t xml:space="preserve">Độ chính xác chẩn đoán: </w:t>
      </w:r>
      <w:r>
        <w:rPr>
          <w:rFonts w:ascii="Times New Roman" w:hAnsi="Times New Roman"/>
        </w:rPr>
        <w:t>Bộ đề tối ưu của đề tài đạt AUC = 0.7190 và ACC = 0.6778, vượt trội so với baseline ngẫu nhiên và nhỉnh hơn bản gốc KDD 2025.</w:t>
      </w:r>
    </w:p>
    <w:p>
      <w:pPr>
        <w:pStyle w:val="ListBullet"/>
        <w:spacing w:after="60"/>
      </w:pPr>
      <w:r>
        <w:rPr>
          <w:rFonts w:ascii="Times New Roman" w:hAnsi="Times New Roman"/>
          <w:b/>
        </w:rPr>
        <w:t xml:space="preserve">Độ bao phủ tri thức: </w:t>
      </w:r>
      <w:r>
        <w:rPr>
          <w:rFonts w:ascii="Times New Roman" w:hAnsi="Times New Roman"/>
        </w:rPr>
        <w:t>Đạt 89.48% (tăng hơn 4% so với mô hình gốc), bảo đảm cây tri thức được đo lường sâu rộng nhất.</w:t>
      </w:r>
    </w:p>
    <w:p>
      <w:pPr>
        <w:pStyle w:val="ListBullet"/>
        <w:spacing w:after="60"/>
      </w:pPr>
      <w:r>
        <w:rPr>
          <w:rFonts w:ascii="Times New Roman" w:hAnsi="Times New Roman"/>
          <w:b/>
        </w:rPr>
        <w:t xml:space="preserve">Tính thực tiễn khảo thí: </w:t>
      </w:r>
      <w:r>
        <w:rPr>
          <w:rFonts w:ascii="Times New Roman" w:hAnsi="Times New Roman"/>
        </w:rPr>
        <w:t>Khắc phục hoàn toàn bài toán 'điểm mù' kỹ năng, tạo ra một trải nghiệm khảo thí toàn diện và đáng tin cậy cho ứng dụng GetGoals.</w:t>
      </w:r>
    </w:p>
    <w:p>
      <w:pPr>
        <w:spacing w:before="320" w:after="120"/>
      </w:pPr>
      <w:r>
        <w:rPr>
          <w:rFonts w:ascii="Times New Roman" w:hAnsi="Times New Roman"/>
          <w:b/>
          <w:color w:val="1E3A8A"/>
          <w:sz w:val="30"/>
        </w:rPr>
        <w:t>6. Tài liệu Tham khảo Chính (References)</w:t>
      </w:r>
    </w:p>
    <w:p>
      <w:r>
        <w:rPr>
          <w:rFonts w:ascii="Times New Roman" w:hAnsi="Times New Roman"/>
          <w:i/>
        </w:rPr>
        <w:t>[1] KDD 2025: Personalized Computerized Adaptive Testing (PCAT) Framework for Two-Stage Diagnostic Test Assembly.</w:t>
      </w:r>
    </w:p>
    <w:p>
      <w:r>
        <w:rPr>
          <w:rFonts w:ascii="Times New Roman" w:hAnsi="Times New Roman"/>
          <w:i/>
        </w:rPr>
        <w:t>[2] Fei Wang et al., Neural Cognitive Diagnosis for Intelligent Education Systems, In Proceedings of the AAAI Conference on Human Computation and Crowdsourcing (AAAI 2020).</w:t>
      </w:r>
    </w:p>
    <w:p>
      <w:r>
        <w:rPr>
          <w:rFonts w:ascii="Times New Roman" w:hAnsi="Times New Roman"/>
          <w:i/>
        </w:rPr>
        <w:t>[3] Youngduck Choi et al., EdNet: A Large-scale Hierarchical Dataset in Education, AIED 2020.</w:t>
      </w:r>
    </w:p>
    <w:p>
      <w:r>
        <w:rPr>
          <w:rFonts w:ascii="Times New Roman" w:hAnsi="Times New Roman"/>
          <w:i/>
        </w:rPr>
        <w:t>[4] Kalyanmoy Deb et al., A Fast and Elitist Multiobjective Genetic Algorithm: NSGA-II, IEEE Transactions on Evolutionary Computation, 2002.</w:t>
      </w:r>
    </w:p>
    <w:p>
      <w:r>
        <w:rPr>
          <w:rFonts w:ascii="Times New Roman" w:hAnsi="Times New Roman"/>
          <w:i/>
        </w:rPr>
        <w:t>[5] Wim J. van der Linden, Elements of Adaptive Testing, Springer Statistics for Social and Behavioral Sciences, 2010.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