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CB03F" w14:textId="2B94BE92" w:rsidR="00E22812" w:rsidRPr="00F21BAA" w:rsidRDefault="004C6717">
      <w:pPr>
        <w:jc w:val="center"/>
        <w:rPr>
          <w:b/>
          <w:sz w:val="32"/>
          <w:szCs w:val="32"/>
        </w:rPr>
      </w:pPr>
      <w:r>
        <w:rPr>
          <w:b/>
          <w:sz w:val="32"/>
          <w:szCs w:val="32"/>
        </w:rPr>
        <w:t>Các khái niệm</w:t>
      </w:r>
    </w:p>
    <w:p w14:paraId="2C221C4E" w14:textId="77777777" w:rsidR="00E22812" w:rsidRPr="00F21BAA" w:rsidRDefault="00E22812">
      <w:pPr>
        <w:jc w:val="center"/>
        <w:rPr>
          <w:b/>
          <w:sz w:val="32"/>
          <w:szCs w:val="32"/>
        </w:rPr>
      </w:pPr>
    </w:p>
    <w:tbl>
      <w:tblPr>
        <w:tblStyle w:val="a"/>
        <w:tblW w:w="13528"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2395"/>
        <w:gridCol w:w="5137"/>
        <w:gridCol w:w="2548"/>
        <w:gridCol w:w="2188"/>
      </w:tblGrid>
      <w:tr w:rsidR="00F21BAA" w:rsidRPr="00F21BAA" w14:paraId="250225E3" w14:textId="54D63F66" w:rsidTr="00A74D95">
        <w:tc>
          <w:tcPr>
            <w:tcW w:w="1260" w:type="dxa"/>
            <w:shd w:val="clear" w:color="auto" w:fill="D9D9D9" w:themeFill="background1" w:themeFillShade="D9"/>
          </w:tcPr>
          <w:p w14:paraId="33A4B7C0" w14:textId="77777777" w:rsidR="00F21BAA" w:rsidRPr="00F21BAA" w:rsidRDefault="00F21BAA">
            <w:pPr>
              <w:rPr>
                <w:b/>
                <w:bCs/>
              </w:rPr>
            </w:pPr>
            <w:r w:rsidRPr="00F21BAA">
              <w:rPr>
                <w:b/>
                <w:bCs/>
              </w:rPr>
              <w:t>Khái niệm</w:t>
            </w:r>
          </w:p>
        </w:tc>
        <w:tc>
          <w:tcPr>
            <w:tcW w:w="2395" w:type="dxa"/>
            <w:shd w:val="clear" w:color="auto" w:fill="D9D9D9" w:themeFill="background1" w:themeFillShade="D9"/>
          </w:tcPr>
          <w:p w14:paraId="512A0B4E" w14:textId="77777777" w:rsidR="00F21BAA" w:rsidRPr="00F21BAA" w:rsidRDefault="00F21BAA">
            <w:pPr>
              <w:rPr>
                <w:b/>
                <w:bCs/>
              </w:rPr>
            </w:pPr>
            <w:r w:rsidRPr="00F21BAA">
              <w:rPr>
                <w:b/>
                <w:bCs/>
              </w:rPr>
              <w:t>Điều – khoản tương ứng</w:t>
            </w:r>
          </w:p>
        </w:tc>
        <w:tc>
          <w:tcPr>
            <w:tcW w:w="5137" w:type="dxa"/>
            <w:shd w:val="clear" w:color="auto" w:fill="D9D9D9" w:themeFill="background1" w:themeFillShade="D9"/>
          </w:tcPr>
          <w:p w14:paraId="55007EE9" w14:textId="77777777" w:rsidR="00F21BAA" w:rsidRPr="00F21BAA" w:rsidRDefault="00F21BAA">
            <w:pPr>
              <w:rPr>
                <w:b/>
                <w:bCs/>
              </w:rPr>
            </w:pPr>
            <w:r w:rsidRPr="00F21BAA">
              <w:rPr>
                <w:b/>
                <w:bCs/>
              </w:rPr>
              <w:t>Nội dung</w:t>
            </w:r>
          </w:p>
        </w:tc>
        <w:tc>
          <w:tcPr>
            <w:tcW w:w="2548" w:type="dxa"/>
            <w:shd w:val="clear" w:color="auto" w:fill="D9D9D9" w:themeFill="background1" w:themeFillShade="D9"/>
          </w:tcPr>
          <w:p w14:paraId="0F1186BE" w14:textId="77777777" w:rsidR="00F21BAA" w:rsidRPr="00F21BAA" w:rsidRDefault="00F21BAA">
            <w:pPr>
              <w:rPr>
                <w:b/>
                <w:bCs/>
              </w:rPr>
            </w:pPr>
            <w:r w:rsidRPr="00F21BAA">
              <w:rPr>
                <w:b/>
                <w:bCs/>
              </w:rPr>
              <w:t>Keyphrase</w:t>
            </w:r>
          </w:p>
          <w:p w14:paraId="2E6ACF30" w14:textId="77777777" w:rsidR="00F21BAA" w:rsidRPr="00F21BAA" w:rsidRDefault="00F21BAA">
            <w:pPr>
              <w:rPr>
                <w:b/>
                <w:bCs/>
              </w:rPr>
            </w:pPr>
          </w:p>
        </w:tc>
        <w:tc>
          <w:tcPr>
            <w:tcW w:w="2188" w:type="dxa"/>
            <w:shd w:val="clear" w:color="auto" w:fill="D9D9D9" w:themeFill="background1" w:themeFillShade="D9"/>
          </w:tcPr>
          <w:p w14:paraId="529B25B3" w14:textId="77777777" w:rsidR="00F21BAA" w:rsidRPr="00F21BAA" w:rsidRDefault="00F21BAA">
            <w:pPr>
              <w:rPr>
                <w:b/>
                <w:bCs/>
              </w:rPr>
            </w:pPr>
            <w:r w:rsidRPr="00F21BAA">
              <w:rPr>
                <w:b/>
                <w:bCs/>
              </w:rPr>
              <w:t>Kiến thức liên quan</w:t>
            </w:r>
          </w:p>
        </w:tc>
      </w:tr>
      <w:tr w:rsidR="00F21BAA" w:rsidRPr="00F21BAA" w14:paraId="5F4EA387" w14:textId="6B4212F5" w:rsidTr="00A74D95">
        <w:trPr>
          <w:trHeight w:val="1610"/>
        </w:trPr>
        <w:tc>
          <w:tcPr>
            <w:tcW w:w="1260" w:type="dxa"/>
          </w:tcPr>
          <w:p w14:paraId="5E74317B" w14:textId="13E577D6" w:rsidR="00F21BAA" w:rsidRPr="00F21BAA" w:rsidRDefault="00F21BAA">
            <w:r w:rsidRPr="00F21BAA">
              <w:t>Bảo Hiểm Xã Hội</w:t>
            </w:r>
          </w:p>
        </w:tc>
        <w:tc>
          <w:tcPr>
            <w:tcW w:w="2395" w:type="dxa"/>
          </w:tcPr>
          <w:p w14:paraId="2A9B287B" w14:textId="23A6FBB9" w:rsidR="00F21BAA" w:rsidRPr="00F21BAA" w:rsidRDefault="00F21BAA">
            <w:r w:rsidRPr="00F21BAA">
              <w:t>Điều 3. Giải thích từ ngữ - Luật BHXH 2014</w:t>
            </w:r>
          </w:p>
        </w:tc>
        <w:tc>
          <w:tcPr>
            <w:tcW w:w="5137" w:type="dxa"/>
          </w:tcPr>
          <w:p w14:paraId="1D6CC6A2" w14:textId="52BB3917" w:rsidR="00F21BAA" w:rsidRPr="00F21BAA" w:rsidRDefault="00F21BAA" w:rsidP="00D03B79">
            <w:pPr>
              <w:spacing w:before="60" w:after="60"/>
              <w:jc w:val="both"/>
            </w:pPr>
            <w:r w:rsidRPr="00F21BAA">
              <w:rPr>
                <w:i/>
                <w:iCs/>
              </w:rPr>
              <w:t>Bảo hiểm xã hội</w:t>
            </w:r>
            <w:r w:rsidRPr="00F21BAA">
              <w:t xml:space="preserve"> là sự bảo đảm thay thế hoặc bù đắp một phần thu nhập của người lao động khi họ bị giảm hoặc mất thu nhập do ốm đau, thai sản, tai nạn lao động, bệnh nghề nghiệp, hết tuổi lao động hoặc chết, trên cơ sở đóng vào quỹ bảo hiểm xã hội</w:t>
            </w:r>
          </w:p>
        </w:tc>
        <w:tc>
          <w:tcPr>
            <w:tcW w:w="2548" w:type="dxa"/>
          </w:tcPr>
          <w:p w14:paraId="710D076B" w14:textId="0288D938" w:rsidR="00F21BAA" w:rsidRPr="00F21BAA" w:rsidRDefault="00F21BAA">
            <w:r w:rsidRPr="00F21BAA">
              <w:t>BHXH</w:t>
            </w:r>
          </w:p>
        </w:tc>
        <w:tc>
          <w:tcPr>
            <w:tcW w:w="2188" w:type="dxa"/>
          </w:tcPr>
          <w:p w14:paraId="1BE29A85" w14:textId="77777777" w:rsidR="00F21BAA" w:rsidRPr="00F21BAA" w:rsidRDefault="00F21BAA"/>
        </w:tc>
      </w:tr>
      <w:tr w:rsidR="00F21BAA" w:rsidRPr="00F21BAA" w14:paraId="56110781" w14:textId="4514727E" w:rsidTr="00A74D95">
        <w:tc>
          <w:tcPr>
            <w:tcW w:w="1260" w:type="dxa"/>
          </w:tcPr>
          <w:p w14:paraId="66E44942" w14:textId="258131F2" w:rsidR="00F21BAA" w:rsidRPr="00F21BAA" w:rsidRDefault="00F21BAA" w:rsidP="008124A2">
            <w:r w:rsidRPr="00F21BAA">
              <w:t>Bảo Hiểm Xã Hội Bắt Buộc</w:t>
            </w:r>
          </w:p>
        </w:tc>
        <w:tc>
          <w:tcPr>
            <w:tcW w:w="2395" w:type="dxa"/>
          </w:tcPr>
          <w:p w14:paraId="5EDB534C" w14:textId="7FF4C428" w:rsidR="00F21BAA" w:rsidRPr="00F21BAA" w:rsidRDefault="00F21BAA" w:rsidP="008124A2">
            <w:r w:rsidRPr="00F21BAA">
              <w:t>Điều 3. Giải thích từ ngữ - Luật BHXH 2014</w:t>
            </w:r>
          </w:p>
        </w:tc>
        <w:tc>
          <w:tcPr>
            <w:tcW w:w="5137" w:type="dxa"/>
          </w:tcPr>
          <w:p w14:paraId="1F178126" w14:textId="2D17A7E1" w:rsidR="00135FBA" w:rsidRPr="00F21BAA" w:rsidRDefault="00F21BAA" w:rsidP="00D03B79">
            <w:pPr>
              <w:spacing w:before="60" w:after="60"/>
              <w:jc w:val="both"/>
            </w:pPr>
            <w:r w:rsidRPr="00F21BAA">
              <w:rPr>
                <w:i/>
                <w:iCs/>
              </w:rPr>
              <w:t>Bảo hiểm xã hội bắt buộc</w:t>
            </w:r>
            <w:r w:rsidRPr="00F21BAA">
              <w:t xml:space="preserve"> là loại hình bảo hiểm xã hội do Nhà nước tổ chức mà người lao động và người sử dụng lao động phải tham gia.</w:t>
            </w:r>
          </w:p>
        </w:tc>
        <w:tc>
          <w:tcPr>
            <w:tcW w:w="2548" w:type="dxa"/>
          </w:tcPr>
          <w:p w14:paraId="63C24FEA" w14:textId="6B096D3C" w:rsidR="00F21BAA" w:rsidRPr="00F21BAA" w:rsidRDefault="00A74D95" w:rsidP="008124A2">
            <w:r>
              <w:t xml:space="preserve">BHXH, </w:t>
            </w:r>
            <w:r w:rsidR="00F21BAA" w:rsidRPr="00F21BAA">
              <w:t>BHXH</w:t>
            </w:r>
            <w:r w:rsidR="00014256">
              <w:t xml:space="preserve"> bắt buộc</w:t>
            </w:r>
          </w:p>
        </w:tc>
        <w:tc>
          <w:tcPr>
            <w:tcW w:w="2188" w:type="dxa"/>
          </w:tcPr>
          <w:p w14:paraId="3080BE4B" w14:textId="77777777" w:rsidR="00F21BAA" w:rsidRPr="00F21BAA" w:rsidRDefault="00F21BAA" w:rsidP="008124A2"/>
        </w:tc>
      </w:tr>
      <w:tr w:rsidR="00F21BAA" w:rsidRPr="00F21BAA" w14:paraId="283692EA" w14:textId="0E966A5B" w:rsidTr="00A74D95">
        <w:tc>
          <w:tcPr>
            <w:tcW w:w="1260" w:type="dxa"/>
          </w:tcPr>
          <w:p w14:paraId="6659CBE8" w14:textId="2C01AA30" w:rsidR="00F21BAA" w:rsidRPr="00F21BAA" w:rsidRDefault="00F21BAA" w:rsidP="008124A2">
            <w:r w:rsidRPr="00F21BAA">
              <w:t>Bảo Hiểm Xã Hội Tự Nguyện</w:t>
            </w:r>
          </w:p>
        </w:tc>
        <w:tc>
          <w:tcPr>
            <w:tcW w:w="2395" w:type="dxa"/>
          </w:tcPr>
          <w:p w14:paraId="1DF080A4" w14:textId="7D4032A9" w:rsidR="00F21BAA" w:rsidRPr="00F21BAA" w:rsidRDefault="00F21BAA" w:rsidP="008124A2">
            <w:r w:rsidRPr="00F21BAA">
              <w:t>Điều 3. Giải thích từ ngữ - Luật BHXH 2014</w:t>
            </w:r>
          </w:p>
        </w:tc>
        <w:tc>
          <w:tcPr>
            <w:tcW w:w="5137" w:type="dxa"/>
          </w:tcPr>
          <w:p w14:paraId="2E83C2A2" w14:textId="593997B4" w:rsidR="00135FBA" w:rsidRPr="00F21BAA" w:rsidRDefault="00F21BAA" w:rsidP="00D03B79">
            <w:pPr>
              <w:spacing w:before="60" w:after="60"/>
              <w:jc w:val="both"/>
            </w:pPr>
            <w:r w:rsidRPr="00F21BAA">
              <w:rPr>
                <w:i/>
                <w:iCs/>
              </w:rPr>
              <w:t>Bảo hiểm xã hội tự nguyện</w:t>
            </w:r>
            <w:r w:rsidRPr="00F21BAA">
              <w:t xml:space="preserve"> là loại hình bảo hiểm xã hội do Nhà nước tổ chức mà người tham gia được lựa chọn mức đóng, phương thức đóng phù hợp với thu nhập của mình và Nhà nước có chính sách hỗ trợ tiền đóng bảo hiểm xã hội để người tham gia hưởng chế độ hưu trí và tử tuất</w:t>
            </w:r>
            <w:r w:rsidR="00135FBA">
              <w:t>.</w:t>
            </w:r>
          </w:p>
        </w:tc>
        <w:tc>
          <w:tcPr>
            <w:tcW w:w="2548" w:type="dxa"/>
          </w:tcPr>
          <w:p w14:paraId="0FCE9D64" w14:textId="4006B60A" w:rsidR="00F21BAA" w:rsidRPr="00F21BAA" w:rsidRDefault="00A74D95" w:rsidP="008124A2">
            <w:r>
              <w:t xml:space="preserve">BHXH, </w:t>
            </w:r>
            <w:r w:rsidR="00F21BAA" w:rsidRPr="00F21BAA">
              <w:t>BHXH</w:t>
            </w:r>
            <w:r w:rsidR="00014256">
              <w:t xml:space="preserve"> tự nguyện</w:t>
            </w:r>
          </w:p>
        </w:tc>
        <w:tc>
          <w:tcPr>
            <w:tcW w:w="2188" w:type="dxa"/>
          </w:tcPr>
          <w:p w14:paraId="0478C552" w14:textId="77777777" w:rsidR="00F21BAA" w:rsidRPr="00F21BAA" w:rsidRDefault="00F21BAA" w:rsidP="008124A2"/>
        </w:tc>
      </w:tr>
      <w:tr w:rsidR="00F21BAA" w:rsidRPr="00F21BAA" w14:paraId="372B95D7" w14:textId="77777777" w:rsidTr="00A74D95">
        <w:tc>
          <w:tcPr>
            <w:tcW w:w="1260" w:type="dxa"/>
          </w:tcPr>
          <w:p w14:paraId="0AF8085F" w14:textId="141A4009" w:rsidR="00F21BAA" w:rsidRPr="00F21BAA" w:rsidRDefault="00F21BAA" w:rsidP="008124A2">
            <w:pPr>
              <w:rPr>
                <w:i/>
                <w:iCs/>
              </w:rPr>
            </w:pPr>
            <w:r w:rsidRPr="00F21BAA">
              <w:rPr>
                <w:i/>
                <w:iCs/>
              </w:rPr>
              <w:t>Thân Nhân</w:t>
            </w:r>
          </w:p>
        </w:tc>
        <w:tc>
          <w:tcPr>
            <w:tcW w:w="2395" w:type="dxa"/>
          </w:tcPr>
          <w:p w14:paraId="6865DF1A" w14:textId="3FF0E11A" w:rsidR="00F21BAA" w:rsidRPr="00F21BAA" w:rsidRDefault="00F21BAA" w:rsidP="008124A2">
            <w:r w:rsidRPr="00F21BAA">
              <w:t>Điều 3. Giải thích từ ngữ - Luật BHXH 2014</w:t>
            </w:r>
          </w:p>
        </w:tc>
        <w:tc>
          <w:tcPr>
            <w:tcW w:w="5137" w:type="dxa"/>
          </w:tcPr>
          <w:p w14:paraId="272CEA4C" w14:textId="117DC5C3" w:rsidR="00135FBA" w:rsidRPr="00D03B79" w:rsidRDefault="00F21BAA" w:rsidP="00D03B79">
            <w:pPr>
              <w:spacing w:before="60" w:after="60"/>
              <w:jc w:val="both"/>
            </w:pPr>
            <w:r w:rsidRPr="00F21BAA">
              <w:rPr>
                <w:i/>
                <w:iCs/>
              </w:rPr>
              <w:t>Thân nhân</w:t>
            </w:r>
            <w:r w:rsidRPr="00F21BAA">
              <w:t xml:space="preserve"> là con đẻ, con nuôi, vợ hoặc chồng, cha đẻ, mẹ đẻ, cha nuôi, mẹ nuôi, cha vợ hoặc cha chồng, mẹ vợ hoặc mẹ chồng của người tham gia bảo hiểm xã hội hoặc thành viên khác trong gia đình mà người tham gia bảo hiểm xã hội đang có nghĩa vụ nuôi dưỡng theo quy định của pháp luật về hôn nhân và gia đình.</w:t>
            </w:r>
          </w:p>
        </w:tc>
        <w:tc>
          <w:tcPr>
            <w:tcW w:w="2548" w:type="dxa"/>
          </w:tcPr>
          <w:p w14:paraId="01253723" w14:textId="15E9B543" w:rsidR="00F21BAA" w:rsidRPr="00F21BAA" w:rsidRDefault="00A74D95" w:rsidP="008124A2">
            <w:r>
              <w:t xml:space="preserve">BHXH, </w:t>
            </w:r>
            <w:r w:rsidR="00F21BAA" w:rsidRPr="00F21BAA">
              <w:t>Th</w:t>
            </w:r>
            <w:r w:rsidR="003A176B">
              <w:t>ân nhân</w:t>
            </w:r>
          </w:p>
        </w:tc>
        <w:tc>
          <w:tcPr>
            <w:tcW w:w="2188" w:type="dxa"/>
          </w:tcPr>
          <w:p w14:paraId="0BC0DECF" w14:textId="77777777" w:rsidR="00F21BAA" w:rsidRPr="00F21BAA" w:rsidRDefault="00F21BAA" w:rsidP="008124A2"/>
        </w:tc>
      </w:tr>
      <w:tr w:rsidR="00F21BAA" w:rsidRPr="00F21BAA" w14:paraId="5351EA62" w14:textId="77777777" w:rsidTr="00A74D95">
        <w:tc>
          <w:tcPr>
            <w:tcW w:w="1260" w:type="dxa"/>
          </w:tcPr>
          <w:p w14:paraId="03447FB4" w14:textId="236C962A" w:rsidR="00F21BAA" w:rsidRPr="00F21BAA" w:rsidRDefault="00F21BAA" w:rsidP="008124A2">
            <w:pPr>
              <w:rPr>
                <w:i/>
                <w:iCs/>
              </w:rPr>
            </w:pPr>
            <w:r w:rsidRPr="00F21BAA">
              <w:rPr>
                <w:i/>
                <w:iCs/>
              </w:rPr>
              <w:t>Bảo hiểm hưu trí bổ sung</w:t>
            </w:r>
          </w:p>
        </w:tc>
        <w:tc>
          <w:tcPr>
            <w:tcW w:w="2395" w:type="dxa"/>
          </w:tcPr>
          <w:p w14:paraId="75E3D03D" w14:textId="4DA5B366" w:rsidR="00F21BAA" w:rsidRPr="00F21BAA" w:rsidRDefault="00F21BAA" w:rsidP="008124A2">
            <w:r w:rsidRPr="00F21BAA">
              <w:t>Điều 3. Giải thích từ ngữ - Luật BHXH 2014</w:t>
            </w:r>
          </w:p>
        </w:tc>
        <w:tc>
          <w:tcPr>
            <w:tcW w:w="5137" w:type="dxa"/>
          </w:tcPr>
          <w:p w14:paraId="3FB8A8AD" w14:textId="21187680" w:rsidR="00135FBA" w:rsidRPr="00F21BAA" w:rsidRDefault="00F21BAA" w:rsidP="00D03B79">
            <w:pPr>
              <w:spacing w:before="60" w:after="60" w:line="259" w:lineRule="auto"/>
              <w:jc w:val="both"/>
            </w:pPr>
            <w:r w:rsidRPr="00F21BAA">
              <w:rPr>
                <w:i/>
                <w:iCs/>
              </w:rPr>
              <w:t>Bảo hiểm hưu trí bổ sung</w:t>
            </w:r>
            <w:r w:rsidRPr="00F21BAA">
              <w:t xml:space="preserve"> là chính sách bảo hiểm xã hội mang tính chất tự nguyện nhằm mục tiêu bổ sung cho chế độ hưu trí trong bảo hiểm xã hội bắt buộc, có cơ chế tạo lập quỹ từ sự đóng góp của người lao động và người sử dụng lao động dưới hình thức tài khoản tiết </w:t>
            </w:r>
            <w:r w:rsidRPr="00F21BAA">
              <w:lastRenderedPageBreak/>
              <w:t>kiệm cá nhân, được bảo toàn và tích lũy thông qua hoạt động đầu tư theo quy định của pháp luật.</w:t>
            </w:r>
          </w:p>
        </w:tc>
        <w:tc>
          <w:tcPr>
            <w:tcW w:w="2548" w:type="dxa"/>
          </w:tcPr>
          <w:p w14:paraId="2A2BD0A3" w14:textId="0D4BC533" w:rsidR="00F21BAA" w:rsidRPr="00F21BAA" w:rsidRDefault="003A176B" w:rsidP="008124A2">
            <w:r>
              <w:lastRenderedPageBreak/>
              <w:t>hưu trí bổ sung</w:t>
            </w:r>
          </w:p>
        </w:tc>
        <w:tc>
          <w:tcPr>
            <w:tcW w:w="2188" w:type="dxa"/>
          </w:tcPr>
          <w:p w14:paraId="6DEFC43F" w14:textId="77777777" w:rsidR="00F21BAA" w:rsidRPr="00F21BAA" w:rsidRDefault="00F21BAA" w:rsidP="008124A2"/>
        </w:tc>
      </w:tr>
      <w:tr w:rsidR="00F21BAA" w:rsidRPr="00F21BAA" w14:paraId="6CE27799" w14:textId="77777777" w:rsidTr="00A74D95">
        <w:tc>
          <w:tcPr>
            <w:tcW w:w="1260" w:type="dxa"/>
          </w:tcPr>
          <w:p w14:paraId="67D8E5F5" w14:textId="56E33A3C" w:rsidR="00F21BAA" w:rsidRPr="00F21BAA" w:rsidRDefault="00F21BAA" w:rsidP="008124A2">
            <w:pPr>
              <w:rPr>
                <w:i/>
                <w:iCs/>
              </w:rPr>
            </w:pPr>
            <w:r w:rsidRPr="00F21BAA">
              <w:rPr>
                <w:i/>
                <w:iCs/>
              </w:rPr>
              <w:t>Người Lao Động</w:t>
            </w:r>
          </w:p>
        </w:tc>
        <w:tc>
          <w:tcPr>
            <w:tcW w:w="2395" w:type="dxa"/>
          </w:tcPr>
          <w:p w14:paraId="06FADBC6" w14:textId="7518E5EB" w:rsidR="00F21BAA" w:rsidRPr="00F21BAA" w:rsidRDefault="00F21BAA" w:rsidP="008124A2">
            <w:r w:rsidRPr="00F21BAA">
              <w:t>Điều 3. Giải thích từ ngữ- Bộ luật lao động số 45/2019/QH14</w:t>
            </w:r>
          </w:p>
        </w:tc>
        <w:tc>
          <w:tcPr>
            <w:tcW w:w="5137" w:type="dxa"/>
          </w:tcPr>
          <w:p w14:paraId="60CDE064" w14:textId="566971BA" w:rsidR="00F21BAA" w:rsidRPr="00F21BAA" w:rsidRDefault="00F21BAA" w:rsidP="00D03B79">
            <w:pPr>
              <w:spacing w:before="60" w:after="60"/>
              <w:jc w:val="both"/>
              <w:rPr>
                <w:b/>
                <w:bCs/>
                <w:i/>
                <w:iCs/>
              </w:rPr>
            </w:pPr>
            <w:r w:rsidRPr="00F21BAA">
              <w:rPr>
                <w:i/>
                <w:iCs/>
                <w:lang w:val="nl-NL"/>
              </w:rPr>
              <w:t>Người lao động</w:t>
            </w:r>
            <w:r w:rsidRPr="00F21BAA">
              <w:rPr>
                <w:lang w:val="nl-NL"/>
              </w:rPr>
              <w:t xml:space="preserve"> là người làm việc cho người sử dụng lao động theo thỏa thuận, được trả lương và chịu sự quản lý, điều hành, giám sát của người sử dụng lao động.</w:t>
            </w:r>
          </w:p>
        </w:tc>
        <w:tc>
          <w:tcPr>
            <w:tcW w:w="2548" w:type="dxa"/>
          </w:tcPr>
          <w:p w14:paraId="552655A3" w14:textId="08CD65DE" w:rsidR="00F21BAA" w:rsidRPr="00F21BAA" w:rsidRDefault="003A176B" w:rsidP="008124A2">
            <w:r>
              <w:t>Người lao động</w:t>
            </w:r>
          </w:p>
        </w:tc>
        <w:tc>
          <w:tcPr>
            <w:tcW w:w="2188" w:type="dxa"/>
          </w:tcPr>
          <w:p w14:paraId="3AB02AFA" w14:textId="77777777" w:rsidR="00F21BAA" w:rsidRPr="00F21BAA" w:rsidRDefault="00F21BAA" w:rsidP="008124A2"/>
        </w:tc>
      </w:tr>
      <w:tr w:rsidR="00F21BAA" w:rsidRPr="00F21BAA" w14:paraId="5713D686" w14:textId="77777777" w:rsidTr="00A74D95">
        <w:tc>
          <w:tcPr>
            <w:tcW w:w="1260" w:type="dxa"/>
          </w:tcPr>
          <w:p w14:paraId="5D97CCA5" w14:textId="0DAC7AA0" w:rsidR="00F21BAA" w:rsidRPr="00F21BAA" w:rsidRDefault="00F21BAA" w:rsidP="008124A2">
            <w:pPr>
              <w:rPr>
                <w:i/>
                <w:iCs/>
              </w:rPr>
            </w:pPr>
            <w:r w:rsidRPr="00F21BAA">
              <w:rPr>
                <w:i/>
                <w:iCs/>
              </w:rPr>
              <w:t>Người Sử Dụng Lao Động</w:t>
            </w:r>
          </w:p>
        </w:tc>
        <w:tc>
          <w:tcPr>
            <w:tcW w:w="2395" w:type="dxa"/>
          </w:tcPr>
          <w:p w14:paraId="2392BEC5" w14:textId="43B14149" w:rsidR="00F21BAA" w:rsidRPr="00F21BAA" w:rsidRDefault="00F21BAA" w:rsidP="008124A2">
            <w:r w:rsidRPr="00F21BAA">
              <w:t>Điều 3. Giải thích từ ngữ- Bộ luật lao động số 45/2019/QH14</w:t>
            </w:r>
          </w:p>
        </w:tc>
        <w:tc>
          <w:tcPr>
            <w:tcW w:w="5137" w:type="dxa"/>
          </w:tcPr>
          <w:p w14:paraId="4FAD4376" w14:textId="12F824C8" w:rsidR="00D03B79" w:rsidRPr="00D03B79" w:rsidRDefault="00F21BAA" w:rsidP="00D03B79">
            <w:pPr>
              <w:spacing w:before="60" w:after="60"/>
              <w:jc w:val="both"/>
              <w:rPr>
                <w:lang w:val="nl-NL"/>
              </w:rPr>
            </w:pPr>
            <w:r w:rsidRPr="00F21BAA">
              <w:rPr>
                <w:i/>
                <w:iCs/>
                <w:lang w:val="nl-NL"/>
              </w:rPr>
              <w:t>Người sử dụng lao động</w:t>
            </w:r>
            <w:r w:rsidRPr="00F21BAA">
              <w:rPr>
                <w:lang w:val="nl-NL"/>
              </w:rPr>
              <w:t xml:space="preserve"> là doanh nghiệp, cơ quan, tổ chức, hợp tác xã, hộ gia đình, cá nhân có thuê mướn, sử dụng người lao động làm việc cho mình theo thỏa thuận; trường hợp người sử dụng lao động là cá nhân thì phải có năng lực hành vi dân sự đầy</w:t>
            </w:r>
            <w:r w:rsidR="00D03B79">
              <w:rPr>
                <w:lang w:val="nl-NL"/>
              </w:rPr>
              <w:t>.</w:t>
            </w:r>
          </w:p>
        </w:tc>
        <w:tc>
          <w:tcPr>
            <w:tcW w:w="2548" w:type="dxa"/>
          </w:tcPr>
          <w:p w14:paraId="4501F30A" w14:textId="629CFA7E" w:rsidR="00F21BAA" w:rsidRPr="00F21BAA" w:rsidRDefault="003A176B" w:rsidP="008124A2">
            <w:r>
              <w:t>Người sử dụng lao động</w:t>
            </w:r>
          </w:p>
        </w:tc>
        <w:tc>
          <w:tcPr>
            <w:tcW w:w="2188" w:type="dxa"/>
          </w:tcPr>
          <w:p w14:paraId="76D5930F" w14:textId="77777777" w:rsidR="00F21BAA" w:rsidRPr="00F21BAA" w:rsidRDefault="00F21BAA" w:rsidP="008124A2"/>
        </w:tc>
      </w:tr>
      <w:tr w:rsidR="00F21BAA" w:rsidRPr="00F21BAA" w14:paraId="140FC891" w14:textId="77777777" w:rsidTr="00A74D95">
        <w:tc>
          <w:tcPr>
            <w:tcW w:w="1260" w:type="dxa"/>
          </w:tcPr>
          <w:p w14:paraId="710585E2" w14:textId="6B4169A6" w:rsidR="00F21BAA" w:rsidRPr="00F21BAA" w:rsidRDefault="00F21BAA" w:rsidP="008124A2">
            <w:pPr>
              <w:rPr>
                <w:i/>
                <w:iCs/>
              </w:rPr>
            </w:pPr>
            <w:r w:rsidRPr="00F21BAA">
              <w:rPr>
                <w:i/>
                <w:iCs/>
                <w:lang w:val="nl-NL"/>
              </w:rPr>
              <w:t>Quan hệ lao động</w:t>
            </w:r>
          </w:p>
        </w:tc>
        <w:tc>
          <w:tcPr>
            <w:tcW w:w="2395" w:type="dxa"/>
          </w:tcPr>
          <w:p w14:paraId="7BEE29E8" w14:textId="56B07879" w:rsidR="00F21BAA" w:rsidRPr="00F21BAA" w:rsidRDefault="00F21BAA" w:rsidP="008124A2">
            <w:r w:rsidRPr="00F21BAA">
              <w:t>Điều 3. Giải thích từ ngữ- Bộ luật lao động số 45/2019/QH14</w:t>
            </w:r>
          </w:p>
        </w:tc>
        <w:tc>
          <w:tcPr>
            <w:tcW w:w="5137" w:type="dxa"/>
          </w:tcPr>
          <w:p w14:paraId="7ACA9E64" w14:textId="54A7B7D0" w:rsidR="00F21BAA" w:rsidRPr="00F21BAA" w:rsidRDefault="00F21BAA" w:rsidP="00D03B79">
            <w:pPr>
              <w:spacing w:before="60" w:after="60"/>
              <w:jc w:val="both"/>
              <w:rPr>
                <w:i/>
                <w:iCs/>
              </w:rPr>
            </w:pPr>
            <w:r w:rsidRPr="00F21BAA">
              <w:rPr>
                <w:i/>
                <w:iCs/>
                <w:lang w:val="nl-NL"/>
              </w:rPr>
              <w:t>Quan hệ lao động</w:t>
            </w:r>
            <w:r w:rsidRPr="00F21BAA">
              <w:rPr>
                <w:lang w:val="nl-NL"/>
              </w:rPr>
              <w:t xml:space="preserve"> là quan hệ xã hội phát sinh trong việc thuê mướn, sử dụng lao động, trả lương giữa người lao động, người sử dụng lao động, các tổ chức đại diện của các bên, cơ quan nhà nước có thẩm quyền. Quan hệ lao động bao gồm quan hệ lao động cá nhân và quan hệ lao động tập thể</w:t>
            </w:r>
            <w:r w:rsidR="00D03B79">
              <w:rPr>
                <w:lang w:val="nl-NL"/>
              </w:rPr>
              <w:t>.</w:t>
            </w:r>
          </w:p>
        </w:tc>
        <w:tc>
          <w:tcPr>
            <w:tcW w:w="2548" w:type="dxa"/>
          </w:tcPr>
          <w:p w14:paraId="4A2B5EEF" w14:textId="1C30B46E" w:rsidR="00F21BAA" w:rsidRPr="00F21BAA" w:rsidRDefault="003A176B" w:rsidP="008124A2">
            <w:r>
              <w:t>Quan hệ lao động</w:t>
            </w:r>
          </w:p>
        </w:tc>
        <w:tc>
          <w:tcPr>
            <w:tcW w:w="2188" w:type="dxa"/>
          </w:tcPr>
          <w:p w14:paraId="7CE5D35B" w14:textId="77777777" w:rsidR="00F21BAA" w:rsidRPr="00F21BAA" w:rsidRDefault="00F21BAA" w:rsidP="008124A2"/>
        </w:tc>
      </w:tr>
      <w:tr w:rsidR="00F0292E" w:rsidRPr="00F21BAA" w14:paraId="40E09574" w14:textId="77777777" w:rsidTr="00FA6C37">
        <w:tc>
          <w:tcPr>
            <w:tcW w:w="1260" w:type="dxa"/>
          </w:tcPr>
          <w:p w14:paraId="46E48FD3" w14:textId="1BB8A92D" w:rsidR="00F0292E" w:rsidRPr="00F0292E" w:rsidRDefault="00F0292E" w:rsidP="00FA6C37">
            <w:pPr>
              <w:rPr>
                <w:lang w:val="nl-NL"/>
              </w:rPr>
            </w:pPr>
            <w:r>
              <w:rPr>
                <w:lang w:val="nl-NL"/>
              </w:rPr>
              <w:t>Bảo hiểm y tế</w:t>
            </w:r>
          </w:p>
        </w:tc>
        <w:tc>
          <w:tcPr>
            <w:tcW w:w="2395" w:type="dxa"/>
          </w:tcPr>
          <w:p w14:paraId="496E638C" w14:textId="28558A07" w:rsidR="00F0292E" w:rsidRPr="00F21BAA" w:rsidRDefault="00F0292E" w:rsidP="00FA6C37">
            <w:r>
              <w:t>Điều 2. Giải thích từ ngữ - Luật BHYT 2008</w:t>
            </w:r>
          </w:p>
        </w:tc>
        <w:tc>
          <w:tcPr>
            <w:tcW w:w="5137" w:type="dxa"/>
          </w:tcPr>
          <w:p w14:paraId="2AEDE028" w14:textId="20CBF58F" w:rsidR="00F0292E" w:rsidRPr="00F0292E" w:rsidRDefault="00F0292E" w:rsidP="00D03B79">
            <w:pPr>
              <w:spacing w:before="60" w:after="60"/>
              <w:jc w:val="both"/>
              <w:rPr>
                <w:lang w:val="nl-NL"/>
              </w:rPr>
            </w:pPr>
            <w:r w:rsidRPr="00F0292E">
              <w:rPr>
                <w:lang w:val="nl-NL"/>
              </w:rPr>
              <w:t>Bảo hiểm y tế là hình thức bảo hiểm được áp dụng trong lĩnh vực chăm sóc sức khỏe, không vì mục đích lợi nhuận, do Nhà nước tổ chức thực hiện và các đối tượng có trách nhiệm tham gia theo quy định của Luật này.</w:t>
            </w:r>
          </w:p>
        </w:tc>
        <w:tc>
          <w:tcPr>
            <w:tcW w:w="2548" w:type="dxa"/>
          </w:tcPr>
          <w:p w14:paraId="02BD2066" w14:textId="4D09FFD0" w:rsidR="00F0292E" w:rsidRDefault="00F0292E" w:rsidP="00FA6C37">
            <w:r>
              <w:t>BH y tế</w:t>
            </w:r>
          </w:p>
        </w:tc>
        <w:tc>
          <w:tcPr>
            <w:tcW w:w="2188" w:type="dxa"/>
          </w:tcPr>
          <w:p w14:paraId="2C908F92" w14:textId="77777777" w:rsidR="00F0292E" w:rsidRPr="00F21BAA" w:rsidRDefault="00F0292E" w:rsidP="00FA6C37"/>
        </w:tc>
      </w:tr>
      <w:tr w:rsidR="00F0292E" w:rsidRPr="00F21BAA" w14:paraId="05965994" w14:textId="77777777" w:rsidTr="00FA6C37">
        <w:tc>
          <w:tcPr>
            <w:tcW w:w="1260" w:type="dxa"/>
          </w:tcPr>
          <w:p w14:paraId="02D26394" w14:textId="0F9F469B" w:rsidR="00F0292E" w:rsidRPr="00F21BAA" w:rsidRDefault="00F0292E" w:rsidP="00F0292E">
            <w:pPr>
              <w:rPr>
                <w:i/>
                <w:iCs/>
                <w:lang w:val="nl-NL"/>
              </w:rPr>
            </w:pPr>
            <w:r>
              <w:t>Bảo hiểm y tế toàn dân</w:t>
            </w:r>
          </w:p>
        </w:tc>
        <w:tc>
          <w:tcPr>
            <w:tcW w:w="2395" w:type="dxa"/>
          </w:tcPr>
          <w:p w14:paraId="5C42CF79" w14:textId="488A411E" w:rsidR="00F0292E" w:rsidRPr="00F21BAA" w:rsidRDefault="00F0292E" w:rsidP="00F0292E">
            <w:r>
              <w:t>Điều 2. Giải thích từ ngữ</w:t>
            </w:r>
            <w:r>
              <w:t xml:space="preserve"> </w:t>
            </w:r>
            <w:r>
              <w:t>- Luật BHYT 2008</w:t>
            </w:r>
          </w:p>
        </w:tc>
        <w:tc>
          <w:tcPr>
            <w:tcW w:w="5137" w:type="dxa"/>
          </w:tcPr>
          <w:p w14:paraId="0A1E4355" w14:textId="41439861" w:rsidR="00F0292E" w:rsidRPr="00F21BAA" w:rsidRDefault="00F0292E" w:rsidP="00D03B79">
            <w:pPr>
              <w:spacing w:before="60" w:after="60"/>
              <w:jc w:val="both"/>
              <w:rPr>
                <w:i/>
                <w:iCs/>
                <w:lang w:val="nl-NL"/>
              </w:rPr>
            </w:pPr>
            <w:r w:rsidRPr="005073CD">
              <w:t>Bảo hiểm y tế toàn dân là việc các đối tượng quy định trong Luật này đều tham gia bảo hiểm y tế</w:t>
            </w:r>
            <w:r w:rsidR="00D03B79">
              <w:t>.</w:t>
            </w:r>
          </w:p>
        </w:tc>
        <w:tc>
          <w:tcPr>
            <w:tcW w:w="2548" w:type="dxa"/>
          </w:tcPr>
          <w:p w14:paraId="4609CD59" w14:textId="1B2B851A" w:rsidR="00F0292E" w:rsidRDefault="00F0292E" w:rsidP="00F0292E">
            <w:r>
              <w:t>BH y tế toàn dân</w:t>
            </w:r>
          </w:p>
        </w:tc>
        <w:tc>
          <w:tcPr>
            <w:tcW w:w="2188" w:type="dxa"/>
          </w:tcPr>
          <w:p w14:paraId="0117B563" w14:textId="77777777" w:rsidR="00F0292E" w:rsidRPr="00F21BAA" w:rsidRDefault="00F0292E" w:rsidP="00F0292E"/>
        </w:tc>
      </w:tr>
      <w:tr w:rsidR="00F0292E" w:rsidRPr="00F21BAA" w14:paraId="669537FE" w14:textId="77777777" w:rsidTr="00FA6C37">
        <w:tc>
          <w:tcPr>
            <w:tcW w:w="1260" w:type="dxa"/>
          </w:tcPr>
          <w:p w14:paraId="72A6C046" w14:textId="204C8576" w:rsidR="00F0292E" w:rsidRPr="005073CD" w:rsidRDefault="00F0292E" w:rsidP="00F0292E">
            <w:r>
              <w:t xml:space="preserve">Cơ sở khám bệnh, chữa bệnh bảo hiểm y tế </w:t>
            </w:r>
          </w:p>
        </w:tc>
        <w:tc>
          <w:tcPr>
            <w:tcW w:w="2395" w:type="dxa"/>
          </w:tcPr>
          <w:p w14:paraId="022B2A74" w14:textId="68679CFD" w:rsidR="00F0292E" w:rsidRDefault="00F0292E" w:rsidP="00F0292E">
            <w:r w:rsidRPr="00AA6A97">
              <w:t>Điều 24. Cơ sở khám bệnh, chữa bệnh bảo hiểm y tế</w:t>
            </w:r>
            <w:r>
              <w:t xml:space="preserve"> - Luật BHYT 2008</w:t>
            </w:r>
          </w:p>
        </w:tc>
        <w:tc>
          <w:tcPr>
            <w:tcW w:w="5137" w:type="dxa"/>
          </w:tcPr>
          <w:p w14:paraId="4D0862B5" w14:textId="4286C9DE" w:rsidR="00F0292E" w:rsidRPr="005073CD" w:rsidRDefault="00F0292E" w:rsidP="00D03B79">
            <w:pPr>
              <w:spacing w:before="60" w:after="60"/>
              <w:jc w:val="both"/>
            </w:pPr>
            <w:r>
              <w:t>1. Cơ sở khám bệnh, chữa bệnh bảo hiểm y tế là cơ sở y tế có ký hợp đồng khám bệnh, chữa bệnh với tổ chức bảo hiểm y tế.</w:t>
            </w:r>
          </w:p>
        </w:tc>
        <w:tc>
          <w:tcPr>
            <w:tcW w:w="2548" w:type="dxa"/>
          </w:tcPr>
          <w:p w14:paraId="55BF86EE" w14:textId="0A403B28" w:rsidR="00F0292E" w:rsidRDefault="00F0292E" w:rsidP="00F0292E">
            <w:r>
              <w:t>Cơ sở KCB</w:t>
            </w:r>
          </w:p>
        </w:tc>
        <w:tc>
          <w:tcPr>
            <w:tcW w:w="2188" w:type="dxa"/>
          </w:tcPr>
          <w:p w14:paraId="2FA84CC0" w14:textId="77777777" w:rsidR="00F0292E" w:rsidRPr="00F21BAA" w:rsidRDefault="00F0292E" w:rsidP="00F0292E"/>
        </w:tc>
      </w:tr>
      <w:tr w:rsidR="00F0292E" w:rsidRPr="00F21BAA" w14:paraId="6EB26551" w14:textId="77777777" w:rsidTr="00FA6C37">
        <w:tc>
          <w:tcPr>
            <w:tcW w:w="1260" w:type="dxa"/>
          </w:tcPr>
          <w:p w14:paraId="73F74899" w14:textId="5AAC835C" w:rsidR="00F0292E" w:rsidRPr="00F21BAA" w:rsidRDefault="00F0292E" w:rsidP="00F0292E">
            <w:pPr>
              <w:rPr>
                <w:i/>
                <w:iCs/>
                <w:lang w:val="nl-NL"/>
              </w:rPr>
            </w:pPr>
            <w:r w:rsidRPr="005073CD">
              <w:t xml:space="preserve">Cơ sở khám bệnh, chữa bệnh bảo </w:t>
            </w:r>
            <w:r w:rsidRPr="005073CD">
              <w:lastRenderedPageBreak/>
              <w:t>hiểm y tế ban đầu</w:t>
            </w:r>
          </w:p>
        </w:tc>
        <w:tc>
          <w:tcPr>
            <w:tcW w:w="2395" w:type="dxa"/>
          </w:tcPr>
          <w:p w14:paraId="70A90601" w14:textId="057504A4" w:rsidR="00F0292E" w:rsidRPr="00F21BAA" w:rsidRDefault="00F0292E" w:rsidP="00F0292E">
            <w:r>
              <w:lastRenderedPageBreak/>
              <w:t>Điều 2. Giải thích từ ngữ</w:t>
            </w:r>
            <w:r>
              <w:t xml:space="preserve"> -</w:t>
            </w:r>
            <w:r>
              <w:t xml:space="preserve"> Luật BHYT 2008</w:t>
            </w:r>
          </w:p>
        </w:tc>
        <w:tc>
          <w:tcPr>
            <w:tcW w:w="5137" w:type="dxa"/>
          </w:tcPr>
          <w:p w14:paraId="1F584F06" w14:textId="3461DF87" w:rsidR="00F0292E" w:rsidRPr="00F21BAA" w:rsidRDefault="00F0292E" w:rsidP="00D03B79">
            <w:pPr>
              <w:spacing w:before="60" w:after="60"/>
              <w:jc w:val="both"/>
              <w:rPr>
                <w:i/>
                <w:iCs/>
                <w:lang w:val="nl-NL"/>
              </w:rPr>
            </w:pPr>
            <w:r w:rsidRPr="005073CD">
              <w:t>Cơ sở khám bệnh, chữa bệnh bảo hiểm y tế ban đầu là cơ sở khám bệnh, chữa bệnh đầu tiên theo đăng ký của người tham gia bảo hiểm y tế và được ghi trong thẻ bảo hiểm y tế.</w:t>
            </w:r>
          </w:p>
        </w:tc>
        <w:tc>
          <w:tcPr>
            <w:tcW w:w="2548" w:type="dxa"/>
          </w:tcPr>
          <w:p w14:paraId="19DC59FF" w14:textId="29C9163C" w:rsidR="00F0292E" w:rsidRDefault="00F0292E" w:rsidP="00F0292E">
            <w:r>
              <w:t>Cơ sở KCB ban đầu</w:t>
            </w:r>
          </w:p>
        </w:tc>
        <w:tc>
          <w:tcPr>
            <w:tcW w:w="2188" w:type="dxa"/>
          </w:tcPr>
          <w:p w14:paraId="357543AF" w14:textId="77777777" w:rsidR="00F0292E" w:rsidRPr="00F21BAA" w:rsidRDefault="00F0292E" w:rsidP="00F0292E"/>
        </w:tc>
      </w:tr>
    </w:tbl>
    <w:p w14:paraId="478FA2E0" w14:textId="77777777" w:rsidR="00E22812" w:rsidRPr="00F21BAA" w:rsidRDefault="00E22812"/>
    <w:sectPr w:rsidR="00E22812" w:rsidRPr="00F21BAA" w:rsidSect="00ED7E44">
      <w:pgSz w:w="15840" w:h="12240"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D79"/>
    <w:multiLevelType w:val="hybridMultilevel"/>
    <w:tmpl w:val="A33C9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A12A8"/>
    <w:multiLevelType w:val="hybridMultilevel"/>
    <w:tmpl w:val="FF2E3890"/>
    <w:lvl w:ilvl="0" w:tplc="2BFE34F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F462863"/>
    <w:multiLevelType w:val="hybridMultilevel"/>
    <w:tmpl w:val="21309936"/>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2447921"/>
    <w:multiLevelType w:val="hybridMultilevel"/>
    <w:tmpl w:val="61B24786"/>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A572BBA"/>
    <w:multiLevelType w:val="hybridMultilevel"/>
    <w:tmpl w:val="558EC41E"/>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C604FA5"/>
    <w:multiLevelType w:val="hybridMultilevel"/>
    <w:tmpl w:val="F5C4E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02F30"/>
    <w:multiLevelType w:val="hybridMultilevel"/>
    <w:tmpl w:val="4CA0FB1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607AD"/>
    <w:multiLevelType w:val="hybridMultilevel"/>
    <w:tmpl w:val="443E8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164D68"/>
    <w:multiLevelType w:val="hybridMultilevel"/>
    <w:tmpl w:val="3B48C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2C39CC"/>
    <w:multiLevelType w:val="hybridMultilevel"/>
    <w:tmpl w:val="1EA64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4C7456"/>
    <w:multiLevelType w:val="hybridMultilevel"/>
    <w:tmpl w:val="C6BCB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EA109A"/>
    <w:multiLevelType w:val="hybridMultilevel"/>
    <w:tmpl w:val="0DC6EBB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5061D"/>
    <w:multiLevelType w:val="hybridMultilevel"/>
    <w:tmpl w:val="53AA1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76309D"/>
    <w:multiLevelType w:val="hybridMultilevel"/>
    <w:tmpl w:val="525636BA"/>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B5A3969"/>
    <w:multiLevelType w:val="hybridMultilevel"/>
    <w:tmpl w:val="4D7AB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AE30AB"/>
    <w:multiLevelType w:val="hybridMultilevel"/>
    <w:tmpl w:val="61B247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1DC6823"/>
    <w:multiLevelType w:val="hybridMultilevel"/>
    <w:tmpl w:val="B6E85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367BC0"/>
    <w:multiLevelType w:val="hybridMultilevel"/>
    <w:tmpl w:val="DC8EC97A"/>
    <w:lvl w:ilvl="0" w:tplc="0409000F">
      <w:start w:val="1"/>
      <w:numFmt w:val="decimal"/>
      <w:lvlText w:val="%1."/>
      <w:lvlJc w:val="left"/>
      <w:pPr>
        <w:ind w:left="720" w:hanging="360"/>
      </w:pPr>
    </w:lvl>
    <w:lvl w:ilvl="1" w:tplc="E8269CB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210D34"/>
    <w:multiLevelType w:val="hybridMultilevel"/>
    <w:tmpl w:val="495E1C28"/>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041189F"/>
    <w:multiLevelType w:val="hybridMultilevel"/>
    <w:tmpl w:val="525636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502B9F"/>
    <w:multiLevelType w:val="hybridMultilevel"/>
    <w:tmpl w:val="C366A9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6222EB0"/>
    <w:multiLevelType w:val="hybridMultilevel"/>
    <w:tmpl w:val="C96818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95556B1"/>
    <w:multiLevelType w:val="hybridMultilevel"/>
    <w:tmpl w:val="E7181C1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C253D07"/>
    <w:multiLevelType w:val="hybridMultilevel"/>
    <w:tmpl w:val="8A9CE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8B19C7"/>
    <w:multiLevelType w:val="hybridMultilevel"/>
    <w:tmpl w:val="38765668"/>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F242C84"/>
    <w:multiLevelType w:val="hybridMultilevel"/>
    <w:tmpl w:val="E8E407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4A728C"/>
    <w:multiLevelType w:val="hybridMultilevel"/>
    <w:tmpl w:val="C784ABB6"/>
    <w:lvl w:ilvl="0" w:tplc="0409000F">
      <w:start w:val="1"/>
      <w:numFmt w:val="decimal"/>
      <w:lvlText w:val="%1."/>
      <w:lvlJc w:val="left"/>
      <w:pPr>
        <w:ind w:left="720" w:hanging="360"/>
      </w:pPr>
      <w:rPr>
        <w:rFonts w:hint="default"/>
      </w:rPr>
    </w:lvl>
    <w:lvl w:ilvl="1" w:tplc="17C07FB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D513E6"/>
    <w:multiLevelType w:val="hybridMultilevel"/>
    <w:tmpl w:val="141A6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BD778E"/>
    <w:multiLevelType w:val="hybridMultilevel"/>
    <w:tmpl w:val="AB8457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5856AC"/>
    <w:multiLevelType w:val="hybridMultilevel"/>
    <w:tmpl w:val="213099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B246D6F"/>
    <w:multiLevelType w:val="hybridMultilevel"/>
    <w:tmpl w:val="D486A140"/>
    <w:lvl w:ilvl="0" w:tplc="FFFFFFFF">
      <w:start w:val="1"/>
      <w:numFmt w:val="lowerLetter"/>
      <w:lvlText w:val="%1)"/>
      <w:lvlJc w:val="left"/>
      <w:pPr>
        <w:ind w:left="720" w:hanging="360"/>
      </w:pPr>
    </w:lvl>
    <w:lvl w:ilvl="1" w:tplc="A484F040">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B746CD1"/>
    <w:multiLevelType w:val="hybridMultilevel"/>
    <w:tmpl w:val="C968188C"/>
    <w:lvl w:ilvl="0" w:tplc="E868840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7C1A4678"/>
    <w:multiLevelType w:val="hybridMultilevel"/>
    <w:tmpl w:val="558EC41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6903168">
    <w:abstractNumId w:val="4"/>
  </w:num>
  <w:num w:numId="2" w16cid:durableId="2034500206">
    <w:abstractNumId w:val="24"/>
  </w:num>
  <w:num w:numId="3" w16cid:durableId="979267894">
    <w:abstractNumId w:val="32"/>
  </w:num>
  <w:num w:numId="4" w16cid:durableId="631133189">
    <w:abstractNumId w:val="1"/>
  </w:num>
  <w:num w:numId="5" w16cid:durableId="1219513857">
    <w:abstractNumId w:val="13"/>
  </w:num>
  <w:num w:numId="6" w16cid:durableId="1401639481">
    <w:abstractNumId w:val="19"/>
  </w:num>
  <w:num w:numId="7" w16cid:durableId="1313868616">
    <w:abstractNumId w:val="31"/>
  </w:num>
  <w:num w:numId="8" w16cid:durableId="1354184197">
    <w:abstractNumId w:val="21"/>
  </w:num>
  <w:num w:numId="9" w16cid:durableId="473839606">
    <w:abstractNumId w:val="2"/>
  </w:num>
  <w:num w:numId="10" w16cid:durableId="40057772">
    <w:abstractNumId w:val="22"/>
  </w:num>
  <w:num w:numId="11" w16cid:durableId="2023822814">
    <w:abstractNumId w:val="3"/>
  </w:num>
  <w:num w:numId="12" w16cid:durableId="1578006946">
    <w:abstractNumId w:val="15"/>
  </w:num>
  <w:num w:numId="13" w16cid:durableId="1154679951">
    <w:abstractNumId w:val="29"/>
  </w:num>
  <w:num w:numId="14" w16cid:durableId="727345203">
    <w:abstractNumId w:val="20"/>
  </w:num>
  <w:num w:numId="15" w16cid:durableId="1210915061">
    <w:abstractNumId w:val="18"/>
  </w:num>
  <w:num w:numId="16" w16cid:durableId="2075464293">
    <w:abstractNumId w:val="30"/>
  </w:num>
  <w:num w:numId="17" w16cid:durableId="1882085169">
    <w:abstractNumId w:val="11"/>
  </w:num>
  <w:num w:numId="18" w16cid:durableId="1747804303">
    <w:abstractNumId w:val="6"/>
  </w:num>
  <w:num w:numId="19" w16cid:durableId="945112423">
    <w:abstractNumId w:val="16"/>
  </w:num>
  <w:num w:numId="20" w16cid:durableId="1631016410">
    <w:abstractNumId w:val="23"/>
  </w:num>
  <w:num w:numId="21" w16cid:durableId="2133940960">
    <w:abstractNumId w:val="7"/>
  </w:num>
  <w:num w:numId="22" w16cid:durableId="348069926">
    <w:abstractNumId w:val="5"/>
  </w:num>
  <w:num w:numId="23" w16cid:durableId="1538741397">
    <w:abstractNumId w:val="9"/>
  </w:num>
  <w:num w:numId="24" w16cid:durableId="913197413">
    <w:abstractNumId w:val="10"/>
  </w:num>
  <w:num w:numId="25" w16cid:durableId="1120564367">
    <w:abstractNumId w:val="27"/>
  </w:num>
  <w:num w:numId="26" w16cid:durableId="1670408281">
    <w:abstractNumId w:val="26"/>
  </w:num>
  <w:num w:numId="27" w16cid:durableId="1853520915">
    <w:abstractNumId w:val="17"/>
  </w:num>
  <w:num w:numId="28" w16cid:durableId="1518470506">
    <w:abstractNumId w:val="0"/>
  </w:num>
  <w:num w:numId="29" w16cid:durableId="121731815">
    <w:abstractNumId w:val="12"/>
  </w:num>
  <w:num w:numId="30" w16cid:durableId="1279222520">
    <w:abstractNumId w:val="8"/>
  </w:num>
  <w:num w:numId="31" w16cid:durableId="391198389">
    <w:abstractNumId w:val="28"/>
  </w:num>
  <w:num w:numId="32" w16cid:durableId="1354724068">
    <w:abstractNumId w:val="25"/>
  </w:num>
  <w:num w:numId="33" w16cid:durableId="12677367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812"/>
    <w:rsid w:val="00014256"/>
    <w:rsid w:val="00085C6F"/>
    <w:rsid w:val="00135FBA"/>
    <w:rsid w:val="002846C3"/>
    <w:rsid w:val="003347B8"/>
    <w:rsid w:val="00385D3E"/>
    <w:rsid w:val="003A176B"/>
    <w:rsid w:val="003B0C6E"/>
    <w:rsid w:val="003F38D2"/>
    <w:rsid w:val="00435CA0"/>
    <w:rsid w:val="00435E83"/>
    <w:rsid w:val="004C6717"/>
    <w:rsid w:val="00512F36"/>
    <w:rsid w:val="0055450E"/>
    <w:rsid w:val="006B08C1"/>
    <w:rsid w:val="00731A12"/>
    <w:rsid w:val="007D3381"/>
    <w:rsid w:val="008124A2"/>
    <w:rsid w:val="009965CB"/>
    <w:rsid w:val="009A3C27"/>
    <w:rsid w:val="00A1478A"/>
    <w:rsid w:val="00A4642F"/>
    <w:rsid w:val="00A74D95"/>
    <w:rsid w:val="00B219C9"/>
    <w:rsid w:val="00B75170"/>
    <w:rsid w:val="00BA58D7"/>
    <w:rsid w:val="00C5628B"/>
    <w:rsid w:val="00C74211"/>
    <w:rsid w:val="00D03B79"/>
    <w:rsid w:val="00D32DD5"/>
    <w:rsid w:val="00DC19FF"/>
    <w:rsid w:val="00DC47E2"/>
    <w:rsid w:val="00E066E2"/>
    <w:rsid w:val="00E22812"/>
    <w:rsid w:val="00E228EF"/>
    <w:rsid w:val="00E504A9"/>
    <w:rsid w:val="00EA735B"/>
    <w:rsid w:val="00ED7E44"/>
    <w:rsid w:val="00F0292E"/>
    <w:rsid w:val="00F21BAA"/>
    <w:rsid w:val="00FA4557"/>
    <w:rsid w:val="00FB7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176B1"/>
  <w15:docId w15:val="{F11DDEDE-A43E-4ECB-862C-2FBCADF42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E50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270141">
      <w:bodyDiv w:val="1"/>
      <w:marLeft w:val="0"/>
      <w:marRight w:val="0"/>
      <w:marTop w:val="0"/>
      <w:marBottom w:val="0"/>
      <w:divBdr>
        <w:top w:val="none" w:sz="0" w:space="0" w:color="auto"/>
        <w:left w:val="none" w:sz="0" w:space="0" w:color="auto"/>
        <w:bottom w:val="none" w:sz="0" w:space="0" w:color="auto"/>
        <w:right w:val="none" w:sz="0" w:space="0" w:color="auto"/>
      </w:divBdr>
    </w:div>
    <w:div w:id="344745159">
      <w:bodyDiv w:val="1"/>
      <w:marLeft w:val="0"/>
      <w:marRight w:val="0"/>
      <w:marTop w:val="0"/>
      <w:marBottom w:val="0"/>
      <w:divBdr>
        <w:top w:val="none" w:sz="0" w:space="0" w:color="auto"/>
        <w:left w:val="none" w:sz="0" w:space="0" w:color="auto"/>
        <w:bottom w:val="none" w:sz="0" w:space="0" w:color="auto"/>
        <w:right w:val="none" w:sz="0" w:space="0" w:color="auto"/>
      </w:divBdr>
    </w:div>
    <w:div w:id="461192315">
      <w:bodyDiv w:val="1"/>
      <w:marLeft w:val="0"/>
      <w:marRight w:val="0"/>
      <w:marTop w:val="0"/>
      <w:marBottom w:val="0"/>
      <w:divBdr>
        <w:top w:val="none" w:sz="0" w:space="0" w:color="auto"/>
        <w:left w:val="none" w:sz="0" w:space="0" w:color="auto"/>
        <w:bottom w:val="none" w:sz="0" w:space="0" w:color="auto"/>
        <w:right w:val="none" w:sz="0" w:space="0" w:color="auto"/>
      </w:divBdr>
    </w:div>
    <w:div w:id="677460940">
      <w:bodyDiv w:val="1"/>
      <w:marLeft w:val="0"/>
      <w:marRight w:val="0"/>
      <w:marTop w:val="0"/>
      <w:marBottom w:val="0"/>
      <w:divBdr>
        <w:top w:val="none" w:sz="0" w:space="0" w:color="auto"/>
        <w:left w:val="none" w:sz="0" w:space="0" w:color="auto"/>
        <w:bottom w:val="none" w:sz="0" w:space="0" w:color="auto"/>
        <w:right w:val="none" w:sz="0" w:space="0" w:color="auto"/>
      </w:divBdr>
    </w:div>
    <w:div w:id="719862636">
      <w:bodyDiv w:val="1"/>
      <w:marLeft w:val="0"/>
      <w:marRight w:val="0"/>
      <w:marTop w:val="0"/>
      <w:marBottom w:val="0"/>
      <w:divBdr>
        <w:top w:val="none" w:sz="0" w:space="0" w:color="auto"/>
        <w:left w:val="none" w:sz="0" w:space="0" w:color="auto"/>
        <w:bottom w:val="none" w:sz="0" w:space="0" w:color="auto"/>
        <w:right w:val="none" w:sz="0" w:space="0" w:color="auto"/>
      </w:divBdr>
    </w:div>
    <w:div w:id="786118787">
      <w:bodyDiv w:val="1"/>
      <w:marLeft w:val="0"/>
      <w:marRight w:val="0"/>
      <w:marTop w:val="0"/>
      <w:marBottom w:val="0"/>
      <w:divBdr>
        <w:top w:val="none" w:sz="0" w:space="0" w:color="auto"/>
        <w:left w:val="none" w:sz="0" w:space="0" w:color="auto"/>
        <w:bottom w:val="none" w:sz="0" w:space="0" w:color="auto"/>
        <w:right w:val="none" w:sz="0" w:space="0" w:color="auto"/>
      </w:divBdr>
    </w:div>
    <w:div w:id="1112671314">
      <w:bodyDiv w:val="1"/>
      <w:marLeft w:val="0"/>
      <w:marRight w:val="0"/>
      <w:marTop w:val="0"/>
      <w:marBottom w:val="0"/>
      <w:divBdr>
        <w:top w:val="none" w:sz="0" w:space="0" w:color="auto"/>
        <w:left w:val="none" w:sz="0" w:space="0" w:color="auto"/>
        <w:bottom w:val="none" w:sz="0" w:space="0" w:color="auto"/>
        <w:right w:val="none" w:sz="0" w:space="0" w:color="auto"/>
      </w:divBdr>
    </w:div>
    <w:div w:id="1336811328">
      <w:bodyDiv w:val="1"/>
      <w:marLeft w:val="0"/>
      <w:marRight w:val="0"/>
      <w:marTop w:val="0"/>
      <w:marBottom w:val="0"/>
      <w:divBdr>
        <w:top w:val="none" w:sz="0" w:space="0" w:color="auto"/>
        <w:left w:val="none" w:sz="0" w:space="0" w:color="auto"/>
        <w:bottom w:val="none" w:sz="0" w:space="0" w:color="auto"/>
        <w:right w:val="none" w:sz="0" w:space="0" w:color="auto"/>
      </w:divBdr>
    </w:div>
    <w:div w:id="1629361642">
      <w:bodyDiv w:val="1"/>
      <w:marLeft w:val="0"/>
      <w:marRight w:val="0"/>
      <w:marTop w:val="0"/>
      <w:marBottom w:val="0"/>
      <w:divBdr>
        <w:top w:val="none" w:sz="0" w:space="0" w:color="auto"/>
        <w:left w:val="none" w:sz="0" w:space="0" w:color="auto"/>
        <w:bottom w:val="none" w:sz="0" w:space="0" w:color="auto"/>
        <w:right w:val="none" w:sz="0" w:space="0" w:color="auto"/>
      </w:divBdr>
    </w:div>
    <w:div w:id="1732580639">
      <w:bodyDiv w:val="1"/>
      <w:marLeft w:val="0"/>
      <w:marRight w:val="0"/>
      <w:marTop w:val="0"/>
      <w:marBottom w:val="0"/>
      <w:divBdr>
        <w:top w:val="none" w:sz="0" w:space="0" w:color="auto"/>
        <w:left w:val="none" w:sz="0" w:space="0" w:color="auto"/>
        <w:bottom w:val="none" w:sz="0" w:space="0" w:color="auto"/>
        <w:right w:val="none" w:sz="0" w:space="0" w:color="auto"/>
      </w:divBdr>
    </w:div>
    <w:div w:id="1856387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Tinh Tran</cp:lastModifiedBy>
  <cp:revision>28</cp:revision>
  <dcterms:created xsi:type="dcterms:W3CDTF">2023-05-29T10:34:00Z</dcterms:created>
  <dcterms:modified xsi:type="dcterms:W3CDTF">2024-03-28T10:55:00Z</dcterms:modified>
</cp:coreProperties>
</file>