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E86D" w14:textId="75B98CB5" w:rsidR="00B15FCE" w:rsidRPr="004F22D1" w:rsidRDefault="00B15FCE" w:rsidP="004F22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Chương 1. Khái niệm, đối tượng, phương pháp nghiên cứu và ý nghĩa học tập môn Tư tưởng Hồ Chí Minh</w:t>
      </w:r>
    </w:p>
    <w:p w14:paraId="6A57FA9B" w14:textId="5719019E" w:rsidR="00B15FCE" w:rsidRPr="004F22D1" w:rsidRDefault="00B15FCE" w:rsidP="004F22D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Khái niệm tư tưởng Hồ Chí Minh</w:t>
      </w:r>
    </w:p>
    <w:p w14:paraId="755FF924" w14:textId="3AD02538" w:rsidR="00B15FCE" w:rsidRPr="004F22D1" w:rsidRDefault="00B15FCE" w:rsidP="004F22D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Khái niệm tư tưởng Hồ Chí Minh</w:t>
      </w:r>
    </w:p>
    <w:p w14:paraId="2E34FB37" w14:textId="7EC1FE13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 Tư tưởng Hồ Chí Minh là hệ thống quan điểm toàn diện và sâu sắc về những vấn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đề cơ bản của cách mạng Việt Nam, là kết quả sự vận dụng và phát triển sáng tạo chủ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nghĩa Mác Lênin trong điều kiện cụ thể của nước ta, kế thừa và phát triển các giá trị</w:t>
      </w:r>
    </w:p>
    <w:p w14:paraId="388D2CFC" w14:textId="08BA192F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truyền thống tốt đẹp của dân tộc, tiếp thu tinh hoa văn hoá nhân loại… (Văn kiện Đại hội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đại biểu toàn quốc lần thứ XI của Đảng Cộng sản Việt Nam).</w:t>
      </w:r>
    </w:p>
    <w:p w14:paraId="5E30B6E6" w14:textId="77777777" w:rsidR="00B15FCE" w:rsidRPr="004F22D1" w:rsidRDefault="00B15FCE" w:rsidP="004F22D1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B8D97F0" w14:textId="6664E707" w:rsidR="00B15FCE" w:rsidRPr="004F22D1" w:rsidRDefault="00B15FCE" w:rsidP="004F22D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Khái quát quá trình nhận thức của Đảng Cộng sản Việt Nam về tư tưởng Hồ Chí</w:t>
      </w: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Minh</w:t>
      </w:r>
    </w:p>
    <w:p w14:paraId="14624542" w14:textId="77777777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Từ khi Đảng ra đời đến Đại hội đại biểu toàn quốc lần thứ VI của Đảng.</w:t>
      </w:r>
    </w:p>
    <w:p w14:paraId="1907AF20" w14:textId="77777777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Từ Đại hội đại biểu toàn quốc lần thứ VI của Đảng đến nay.</w:t>
      </w:r>
    </w:p>
    <w:p w14:paraId="47FFF845" w14:textId="77777777" w:rsidR="00B15FCE" w:rsidRPr="004F22D1" w:rsidRDefault="00B15FCE" w:rsidP="004F22D1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D92CCDD" w14:textId="24271A11" w:rsidR="00B15FCE" w:rsidRPr="004F22D1" w:rsidRDefault="00B15FCE" w:rsidP="004F22D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Đối tượng nghiên cứu môn học tư tưởng Hồ Chí Minh</w:t>
      </w:r>
    </w:p>
    <w:p w14:paraId="72C7CFCE" w14:textId="462F0B7A" w:rsidR="00B15FCE" w:rsidRPr="004F22D1" w:rsidRDefault="00B15FCE" w:rsidP="004F22D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Là hệ thống quan điểm toàn diện và sâu sắc của Hồ Chí Minh về cách mạn</w:t>
      </w: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g </w:t>
      </w: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Việt Nam.</w:t>
      </w:r>
    </w:p>
    <w:p w14:paraId="42AFE2FB" w14:textId="61F78391" w:rsidR="00B15FCE" w:rsidRPr="004F22D1" w:rsidRDefault="00B15FCE" w:rsidP="004F22D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Hệ thống quan điểm của Hồ Chí Minh về cách mạng Việt Nam thể hiện qua di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sản: bài nói, bài viết, trong hoạt động cách mạng và cuộc sống hằng ngày.</w:t>
      </w:r>
    </w:p>
    <w:p w14:paraId="4DF9A51C" w14:textId="7DB22D3E" w:rsidR="00B15FCE" w:rsidRPr="004F22D1" w:rsidRDefault="00B15FCE" w:rsidP="004F22D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 Những vấn đề lý luận và thực tiễn được rút ra từ quá trình hoạt động trong nước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và trên thế giới</w:t>
      </w:r>
    </w:p>
    <w:p w14:paraId="15D82A61" w14:textId="77777777" w:rsidR="00B15FCE" w:rsidRPr="004F22D1" w:rsidRDefault="00B15FCE" w:rsidP="004F22D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0339C9B" w14:textId="377E920B" w:rsidR="00B15FCE" w:rsidRPr="004F22D1" w:rsidRDefault="00B15FCE" w:rsidP="004F22D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Là quá trình hiện thực hóa hệ thống quan điểm của Hồ Chí Minh trong quá trình phát triển của dân tộc Việt Nam.</w:t>
      </w:r>
    </w:p>
    <w:p w14:paraId="21C8F67C" w14:textId="77777777" w:rsidR="00B15FCE" w:rsidRPr="004F22D1" w:rsidRDefault="00B15FCE" w:rsidP="004F22D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Quá trình hệ thống quan điểm của Hồ Chí Minh vận động trong thực tiễn.</w:t>
      </w:r>
    </w:p>
    <w:p w14:paraId="35A4BBCE" w14:textId="77777777" w:rsidR="00B15FCE" w:rsidRPr="004F22D1" w:rsidRDefault="00B15FCE" w:rsidP="004F22D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Sự vận dụng và phát triển hệ thống quan điểm của Hồ Chí Minh trong thực tiễn.</w:t>
      </w:r>
    </w:p>
    <w:p w14:paraId="72117C40" w14:textId="77777777" w:rsidR="00B15FCE" w:rsidRPr="004F22D1" w:rsidRDefault="00B15FCE" w:rsidP="004F22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574A755" w14:textId="14EA4629" w:rsidR="00B15FCE" w:rsidRPr="004F22D1" w:rsidRDefault="00B15FCE" w:rsidP="004F22D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Phương pháp nghiên cứu</w:t>
      </w:r>
    </w:p>
    <w:p w14:paraId="7A92623E" w14:textId="74D01A43" w:rsidR="00B15FCE" w:rsidRPr="004F22D1" w:rsidRDefault="00B15FCE" w:rsidP="004F22D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Cơ sở phương pháp luận</w:t>
      </w:r>
    </w:p>
    <w:p w14:paraId="5809FC8A" w14:textId="77777777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 Bảo đảm thống nhất nguyên tắc tính Đảng và tính khoa học.</w:t>
      </w:r>
    </w:p>
    <w:p w14:paraId="122A1805" w14:textId="77777777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Quan điểm thực tiễn và gắn lý luận với thực tiễn.</w:t>
      </w:r>
    </w:p>
    <w:p w14:paraId="73E84224" w14:textId="0F2DD0BF" w:rsidR="00B15FCE" w:rsidRPr="004F22D1" w:rsidRDefault="00B15FCE" w:rsidP="004F22D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- Quan điểm lịch sử-cụ thể</w:t>
      </w:r>
    </w:p>
    <w:p w14:paraId="0EC72727" w14:textId="26A8971C" w:rsidR="00B15FCE" w:rsidRPr="00B15FCE" w:rsidRDefault="00B15FCE" w:rsidP="004F22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5C6AF" w14:textId="77777777" w:rsidR="00B15FCE" w:rsidRPr="00B15FCE" w:rsidRDefault="00B15FCE" w:rsidP="004F22D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B15FCE">
        <w:rPr>
          <w:rFonts w:ascii="Times New Roman" w:eastAsia="Times New Roman" w:hAnsi="Times New Roman" w:cs="Times New Roman"/>
          <w:color w:val="000000"/>
          <w:sz w:val="78"/>
          <w:szCs w:val="78"/>
        </w:rPr>
        <w:t xml:space="preserve"> </w:t>
      </w: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Quan điểm toàn diện và hệ thống.</w:t>
      </w:r>
    </w:p>
    <w:p w14:paraId="6F13CDEF" w14:textId="77777777" w:rsidR="00B15FCE" w:rsidRPr="00B15FCE" w:rsidRDefault="00B15FCE" w:rsidP="004F22D1">
      <w:pPr>
        <w:shd w:val="clear" w:color="auto" w:fill="FFFFFF"/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- </w:t>
      </w:r>
      <w:r w:rsidRPr="00B15FCE">
        <w:rPr>
          <w:rFonts w:ascii="Times New Roman" w:eastAsia="Times New Roman" w:hAnsi="Times New Roman" w:cs="Times New Roman"/>
          <w:color w:val="000000"/>
          <w:spacing w:val="3"/>
          <w:sz w:val="30"/>
          <w:szCs w:val="30"/>
        </w:rPr>
        <w:t xml:space="preserve"> </w:t>
      </w: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Quan điểm kế thừa và phát triển.</w:t>
      </w:r>
    </w:p>
    <w:p w14:paraId="02B4C04B" w14:textId="0A7A5D83" w:rsidR="00B15FCE" w:rsidRPr="004F22D1" w:rsidRDefault="00B15FCE" w:rsidP="004F22D1">
      <w:pPr>
        <w:shd w:val="clear" w:color="auto" w:fill="FFFFFF"/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- Kết hợp nghiên cứu các tác phẩm với thực tiễn chỉ đạo cách mạng của Hồ Chí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Minh.</w:t>
      </w:r>
    </w:p>
    <w:p w14:paraId="29C28F40" w14:textId="44EF4E91" w:rsidR="00B15FCE" w:rsidRPr="004F22D1" w:rsidRDefault="00B15FCE" w:rsidP="004F22D1">
      <w:pPr>
        <w:shd w:val="clear" w:color="auto" w:fill="FFFFFF"/>
        <w:spacing w:line="360" w:lineRule="auto"/>
        <w:ind w:left="85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2. </w:t>
      </w: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Các phương pháp cụ thể</w:t>
      </w:r>
    </w:p>
    <w:p w14:paraId="292692BF" w14:textId="35A8DA11" w:rsidR="00B15FCE" w:rsidRPr="004F22D1" w:rsidRDefault="00B15FCE" w:rsidP="004F22D1">
      <w:pPr>
        <w:shd w:val="clear" w:color="auto" w:fill="FFFFFF"/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- </w:t>
      </w:r>
      <w:r w:rsidRPr="004F22D1">
        <w:rPr>
          <w:rFonts w:ascii="Times New Roman" w:eastAsia="Times New Roman" w:hAnsi="Times New Roman" w:cs="Times New Roman"/>
          <w:color w:val="000000"/>
          <w:spacing w:val="3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Phương pháp lôgic, phương pháp  lịch sử và sự kết  hợp hai phương pháp này.</w:t>
      </w:r>
    </w:p>
    <w:p w14:paraId="577FC1A1" w14:textId="6B081ADE" w:rsidR="00B15FCE" w:rsidRPr="00B15FCE" w:rsidRDefault="00B15FCE" w:rsidP="004F22D1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-  Phương pháp phân tích văn bản kết hợp với nghiên cứu hoạt động thực tiễn củaHồ Chí Minh.</w:t>
      </w:r>
    </w:p>
    <w:p w14:paraId="6E8C81C9" w14:textId="31AFC970" w:rsidR="00B15FCE" w:rsidRPr="004F22D1" w:rsidRDefault="00B15FCE" w:rsidP="004F22D1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15FCE">
        <w:rPr>
          <w:rFonts w:ascii="Times New Roman" w:eastAsia="Times New Roman" w:hAnsi="Times New Roman" w:cs="Times New Roman"/>
          <w:color w:val="000000"/>
          <w:sz w:val="30"/>
          <w:szCs w:val="30"/>
        </w:rPr>
        <w:t>-  Phương pháp chuyên ngành, liên ngành</w:t>
      </w:r>
    </w:p>
    <w:p w14:paraId="31500A48" w14:textId="0059538F" w:rsidR="00B15FCE" w:rsidRPr="004F22D1" w:rsidRDefault="00B15FCE" w:rsidP="004F22D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F22D1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Ý nghĩa của việc học tập môn tư tưởng Hồ Chí Minh</w:t>
      </w:r>
    </w:p>
    <w:p w14:paraId="0294D861" w14:textId="77777777" w:rsidR="00B15FCE" w:rsidRPr="004F22D1" w:rsidRDefault="00B15FCE" w:rsidP="004F22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1.4.1. Góp phần nâng cao năng lực tư duy lý luận. </w:t>
      </w:r>
    </w:p>
    <w:p w14:paraId="10FFE585" w14:textId="38E7A983" w:rsidR="00B15FCE" w:rsidRPr="004F22D1" w:rsidRDefault="00B15FCE" w:rsidP="004F22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1.4.2. Giáo dục và thực hành đạo đức cách mạng, củng cố niềm tin khoa học gắn</w:t>
      </w:r>
      <w:r w:rsidR="004F22D1"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t>liền với trau dồi tình cảm cách mạng, bồi dưỡng lòng yêu nước.</w:t>
      </w:r>
    </w:p>
    <w:p w14:paraId="4414E167" w14:textId="77777777" w:rsidR="00B15FCE" w:rsidRPr="004F22D1" w:rsidRDefault="00B15FCE" w:rsidP="004F22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F22D1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  1.4.3. Xây dựng, rèn luyện phương pháp và phong cách công tác.</w:t>
      </w:r>
    </w:p>
    <w:p w14:paraId="422E317B" w14:textId="77777777" w:rsidR="005731AE" w:rsidRPr="004F22D1" w:rsidRDefault="005731AE" w:rsidP="004F22D1">
      <w:pPr>
        <w:spacing w:line="360" w:lineRule="auto"/>
        <w:rPr>
          <w:rFonts w:ascii="Times New Roman" w:hAnsi="Times New Roman" w:cs="Times New Roman"/>
        </w:rPr>
      </w:pPr>
    </w:p>
    <w:sectPr w:rsidR="005731AE" w:rsidRPr="004F22D1" w:rsidSect="00FE3F32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EA7E" w14:textId="77777777" w:rsidR="00102B50" w:rsidRDefault="00102B50" w:rsidP="004F22D1">
      <w:pPr>
        <w:spacing w:after="0" w:line="240" w:lineRule="auto"/>
      </w:pPr>
      <w:r>
        <w:separator/>
      </w:r>
    </w:p>
  </w:endnote>
  <w:endnote w:type="continuationSeparator" w:id="0">
    <w:p w14:paraId="6FE159F2" w14:textId="77777777" w:rsidR="00102B50" w:rsidRDefault="00102B50" w:rsidP="004F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981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16026" w14:textId="58ECF199" w:rsidR="004F22D1" w:rsidRDefault="004F22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E0585" w14:textId="77777777" w:rsidR="004F22D1" w:rsidRDefault="004F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A04B" w14:textId="77777777" w:rsidR="00102B50" w:rsidRDefault="00102B50" w:rsidP="004F22D1">
      <w:pPr>
        <w:spacing w:after="0" w:line="240" w:lineRule="auto"/>
      </w:pPr>
      <w:r>
        <w:separator/>
      </w:r>
    </w:p>
  </w:footnote>
  <w:footnote w:type="continuationSeparator" w:id="0">
    <w:p w14:paraId="300CA599" w14:textId="77777777" w:rsidR="00102B50" w:rsidRDefault="00102B50" w:rsidP="004F2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AB"/>
    <w:multiLevelType w:val="hybridMultilevel"/>
    <w:tmpl w:val="30C434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B7B"/>
    <w:multiLevelType w:val="hybridMultilevel"/>
    <w:tmpl w:val="8D825644"/>
    <w:lvl w:ilvl="0" w:tplc="32507EF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F755C"/>
    <w:multiLevelType w:val="hybridMultilevel"/>
    <w:tmpl w:val="54326B18"/>
    <w:lvl w:ilvl="0" w:tplc="CFF0C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0000"/>
    <w:multiLevelType w:val="hybridMultilevel"/>
    <w:tmpl w:val="A76AFEAC"/>
    <w:lvl w:ilvl="0" w:tplc="8EC0E444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1441C"/>
    <w:multiLevelType w:val="hybridMultilevel"/>
    <w:tmpl w:val="DCDA1282"/>
    <w:lvl w:ilvl="0" w:tplc="195E6BE6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024368">
    <w:abstractNumId w:val="0"/>
  </w:num>
  <w:num w:numId="2" w16cid:durableId="1395546008">
    <w:abstractNumId w:val="1"/>
  </w:num>
  <w:num w:numId="3" w16cid:durableId="818309378">
    <w:abstractNumId w:val="3"/>
  </w:num>
  <w:num w:numId="4" w16cid:durableId="225650199">
    <w:abstractNumId w:val="2"/>
  </w:num>
  <w:num w:numId="5" w16cid:durableId="1439056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CE"/>
    <w:rsid w:val="00102B50"/>
    <w:rsid w:val="004F22D1"/>
    <w:rsid w:val="00515457"/>
    <w:rsid w:val="005731AE"/>
    <w:rsid w:val="00B15FCE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FA6B"/>
  <w15:chartTrackingRefBased/>
  <w15:docId w15:val="{9424FA07-B9A0-4E5A-9A64-27DDDEC0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CE"/>
    <w:pPr>
      <w:ind w:left="720"/>
      <w:contextualSpacing/>
    </w:pPr>
  </w:style>
  <w:style w:type="character" w:customStyle="1" w:styleId="ff3">
    <w:name w:val="ff3"/>
    <w:basedOn w:val="DefaultParagraphFont"/>
    <w:rsid w:val="00B15FCE"/>
  </w:style>
  <w:style w:type="character" w:customStyle="1" w:styleId="ff1">
    <w:name w:val="ff1"/>
    <w:basedOn w:val="DefaultParagraphFont"/>
    <w:rsid w:val="00B15FCE"/>
  </w:style>
  <w:style w:type="character" w:customStyle="1" w:styleId="a">
    <w:name w:val="_"/>
    <w:basedOn w:val="DefaultParagraphFont"/>
    <w:rsid w:val="00B15FCE"/>
  </w:style>
  <w:style w:type="paragraph" w:styleId="Header">
    <w:name w:val="header"/>
    <w:basedOn w:val="Normal"/>
    <w:link w:val="HeaderChar"/>
    <w:uiPriority w:val="99"/>
    <w:unhideWhenUsed/>
    <w:rsid w:val="004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D1"/>
  </w:style>
  <w:style w:type="paragraph" w:styleId="Footer">
    <w:name w:val="footer"/>
    <w:basedOn w:val="Normal"/>
    <w:link w:val="FooterChar"/>
    <w:uiPriority w:val="99"/>
    <w:unhideWhenUsed/>
    <w:rsid w:val="004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1</cp:revision>
  <dcterms:created xsi:type="dcterms:W3CDTF">2022-06-16T16:27:00Z</dcterms:created>
  <dcterms:modified xsi:type="dcterms:W3CDTF">2022-06-16T16:37:00Z</dcterms:modified>
</cp:coreProperties>
</file>