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BÀI TẬP VỀ GIẢI QUYẾT XUNG ĐỘT TRONG LÀM VIỆC NHÓM</w:t>
      </w:r>
    </w:p>
    <w:p/>
    <w:p>
      <w:pPr>
        <w:pStyle w:val="Heading1"/>
      </w:pPr>
      <w:r>
        <w:rPr>
          <w:rFonts w:ascii="Times New Roman" w:hAnsi="Times New Roman"/>
          <w:color w:val="1F4E79"/>
        </w:rPr>
        <w:t>Bài 1. Phân tích tình huống xung đột</w:t>
      </w:r>
    </w:p>
    <w:p>
      <w:pPr>
        <w:spacing w:after="120" w:line="276" w:lineRule="auto"/>
      </w:pPr>
      <w:r>
        <w:rPr>
          <w:b/>
          <w:sz w:val="24"/>
        </w:rPr>
        <w:t>Tình huống:</w:t>
      </w:r>
      <w:r>
        <w:rPr>
          <w:sz w:val="24"/>
        </w:rPr>
        <w:t xml:space="preserve"> Trong một nhóm học tập, một thành viên thường xuyên nộp bài trễ, khiến cả nhóm bị ảnh hưởng tiến độ. Các thành viên khác bắt đầu khó chịu và phàn nàn, nhưng không ai nói trực tiếp với người đó.</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4929"/>
        <w:gridCol w:w="4929"/>
      </w:tblGrid>
      <w:tr>
        <w:tc>
          <w:tcPr>
            <w:tcW w:type="dxa" w:w="2268"/>
            <w:vAlign w:val="center"/>
            <w:shd w:fill="2F5597"/>
          </w:tcPr>
          <w:p>
            <w:pPr>
              <w:jc w:val="left"/>
            </w:pPr>
            <w:r/>
            <w:r>
              <w:rPr>
                <w:b/>
                <w:color w:val="FFFFFF"/>
                <w:sz w:val="20"/>
              </w:rPr>
              <w:t>Nội dung cần xác định</w:t>
            </w:r>
          </w:p>
        </w:tc>
        <w:tc>
          <w:tcPr>
            <w:tcW w:type="dxa" w:w="6803"/>
            <w:vAlign w:val="center"/>
            <w:shd w:fill="2F5597"/>
          </w:tcPr>
          <w:p>
            <w:pPr>
              <w:jc w:val="left"/>
            </w:pPr>
            <w:r/>
            <w:r>
              <w:rPr>
                <w:b/>
                <w:color w:val="FFFFFF"/>
                <w:sz w:val="20"/>
              </w:rPr>
              <w:t>Phân tích</w:t>
            </w:r>
          </w:p>
        </w:tc>
      </w:tr>
      <w:tr>
        <w:tc>
          <w:tcPr>
            <w:tcW w:type="dxa" w:w="2268"/>
            <w:vAlign w:val="center"/>
          </w:tcPr>
          <w:p>
            <w:pPr>
              <w:jc w:val="left"/>
            </w:pPr>
            <w:r/>
            <w:r>
              <w:rPr>
                <w:b w:val="0"/>
                <w:sz w:val="20"/>
              </w:rPr>
              <w:t>Loại xung đột</w:t>
            </w:r>
          </w:p>
        </w:tc>
        <w:tc>
          <w:tcPr>
            <w:tcW w:type="dxa" w:w="6803"/>
            <w:vAlign w:val="center"/>
          </w:tcPr>
          <w:p>
            <w:pPr>
              <w:jc w:val="left"/>
            </w:pPr>
            <w:r/>
            <w:r>
              <w:rPr>
                <w:b w:val="0"/>
                <w:sz w:val="20"/>
              </w:rPr>
              <w:t>Đây là xung đột nhiệm vụ kết hợp với xung đột quan hệ. Ban đầu, vấn đề xuất phát từ việc một thành viên không hoàn thành phần việc đúng hạn. Sau đó, sự khó chịu và phàn nàn âm thầm làm xuất hiện căng thẳng giữa các thành viên.</w:t>
            </w:r>
          </w:p>
        </w:tc>
      </w:tr>
      <w:tr>
        <w:tc>
          <w:tcPr>
            <w:tcW w:type="dxa" w:w="2268"/>
            <w:vAlign w:val="center"/>
          </w:tcPr>
          <w:p>
            <w:pPr>
              <w:jc w:val="left"/>
            </w:pPr>
            <w:r/>
            <w:r>
              <w:rPr>
                <w:b w:val="0"/>
                <w:sz w:val="20"/>
              </w:rPr>
              <w:t>Nguyên nhân 1</w:t>
            </w:r>
          </w:p>
        </w:tc>
        <w:tc>
          <w:tcPr>
            <w:tcW w:type="dxa" w:w="6803"/>
            <w:vAlign w:val="center"/>
          </w:tcPr>
          <w:p>
            <w:pPr>
              <w:jc w:val="left"/>
            </w:pPr>
            <w:r/>
            <w:r>
              <w:rPr>
                <w:b w:val="0"/>
                <w:sz w:val="20"/>
              </w:rPr>
              <w:t>Thành viên nộp bài trễ có thể chưa biết cách quản lý thời gian, chưa hiểu rõ mức độ ảnh hưởng của phần việc cá nhân đến tiến độ chung của nhóm.</w:t>
            </w:r>
          </w:p>
        </w:tc>
      </w:tr>
      <w:tr>
        <w:tc>
          <w:tcPr>
            <w:tcW w:type="dxa" w:w="2268"/>
            <w:vAlign w:val="center"/>
          </w:tcPr>
          <w:p>
            <w:pPr>
              <w:jc w:val="left"/>
            </w:pPr>
            <w:r/>
            <w:r>
              <w:rPr>
                <w:b w:val="0"/>
                <w:sz w:val="20"/>
              </w:rPr>
              <w:t>Nguyên nhân 2</w:t>
            </w:r>
          </w:p>
        </w:tc>
        <w:tc>
          <w:tcPr>
            <w:tcW w:type="dxa" w:w="6803"/>
            <w:vAlign w:val="center"/>
          </w:tcPr>
          <w:p>
            <w:pPr>
              <w:jc w:val="left"/>
            </w:pPr>
            <w:r/>
            <w:r>
              <w:rPr>
                <w:b w:val="0"/>
                <w:sz w:val="20"/>
              </w:rPr>
              <w:t>Nhóm chưa có quy định rõ ràng về thời hạn, trách nhiệm, cách báo cáo tiến độ và hình thức xử lý khi có người chậm trễ.</w:t>
            </w:r>
          </w:p>
        </w:tc>
      </w:tr>
      <w:tr>
        <w:tc>
          <w:tcPr>
            <w:tcW w:type="dxa" w:w="2268"/>
            <w:vAlign w:val="center"/>
          </w:tcPr>
          <w:p>
            <w:pPr>
              <w:jc w:val="left"/>
            </w:pPr>
            <w:r/>
            <w:r>
              <w:rPr>
                <w:b w:val="0"/>
                <w:sz w:val="20"/>
              </w:rPr>
              <w:t>Nguyên nhân 3</w:t>
            </w:r>
          </w:p>
        </w:tc>
        <w:tc>
          <w:tcPr>
            <w:tcW w:type="dxa" w:w="6803"/>
            <w:vAlign w:val="center"/>
          </w:tcPr>
          <w:p>
            <w:pPr>
              <w:jc w:val="left"/>
            </w:pPr>
            <w:r/>
            <w:r>
              <w:rPr>
                <w:b w:val="0"/>
                <w:sz w:val="20"/>
              </w:rPr>
              <w:t>Các thành viên thiếu giao tiếp trực tiếp. Thay vì trao đổi thẳng thắn với người nộp bài trễ, mọi người chỉ phàn nàn với nhau, khiến vấn đề bị kéo dài.</w:t>
            </w:r>
          </w:p>
        </w:tc>
      </w:tr>
    </w:tbl>
    <w:p/>
    <w:p>
      <w:pPr>
        <w:spacing w:after="120" w:line="276" w:lineRule="auto"/>
      </w:pPr>
      <w:r>
        <w:rPr>
          <w:sz w:val="24"/>
        </w:rPr>
        <w:t>Hậu quả nếu không giải quyết:</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4929"/>
        <w:gridCol w:w="4929"/>
      </w:tblGrid>
      <w:tr>
        <w:tc>
          <w:tcPr>
            <w:tcW w:type="dxa" w:w="2268"/>
            <w:vAlign w:val="center"/>
            <w:shd w:fill="2F5597"/>
          </w:tcPr>
          <w:p>
            <w:pPr>
              <w:jc w:val="left"/>
            </w:pPr>
            <w:r/>
            <w:r>
              <w:rPr>
                <w:b/>
                <w:color w:val="FFFFFF"/>
                <w:sz w:val="20"/>
              </w:rPr>
              <w:t>Hậu quả</w:t>
            </w:r>
          </w:p>
        </w:tc>
        <w:tc>
          <w:tcPr>
            <w:tcW w:type="dxa" w:w="6803"/>
            <w:vAlign w:val="center"/>
            <w:shd w:fill="2F5597"/>
          </w:tcPr>
          <w:p>
            <w:pPr>
              <w:jc w:val="left"/>
            </w:pPr>
            <w:r/>
            <w:r>
              <w:rPr>
                <w:b/>
                <w:color w:val="FFFFFF"/>
                <w:sz w:val="20"/>
              </w:rPr>
              <w:t>Giải thích</w:t>
            </w:r>
          </w:p>
        </w:tc>
      </w:tr>
      <w:tr>
        <w:tc>
          <w:tcPr>
            <w:tcW w:type="dxa" w:w="2268"/>
            <w:vAlign w:val="center"/>
          </w:tcPr>
          <w:p>
            <w:pPr>
              <w:jc w:val="left"/>
            </w:pPr>
            <w:r/>
            <w:r>
              <w:rPr>
                <w:b w:val="0"/>
                <w:sz w:val="20"/>
              </w:rPr>
              <w:t>Tiến độ nhóm bị chậm</w:t>
            </w:r>
          </w:p>
        </w:tc>
        <w:tc>
          <w:tcPr>
            <w:tcW w:type="dxa" w:w="6803"/>
            <w:vAlign w:val="center"/>
          </w:tcPr>
          <w:p>
            <w:pPr>
              <w:jc w:val="left"/>
            </w:pPr>
            <w:r/>
            <w:r>
              <w:rPr>
                <w:b w:val="0"/>
                <w:sz w:val="20"/>
              </w:rPr>
              <w:t>Khi một phần việc bị nộp trễ, các phần việc liên quan như tổng hợp, chỉnh sửa, trình bày cũng bị ảnh hưởng.</w:t>
            </w:r>
          </w:p>
        </w:tc>
      </w:tr>
      <w:tr>
        <w:tc>
          <w:tcPr>
            <w:tcW w:type="dxa" w:w="2268"/>
            <w:vAlign w:val="center"/>
          </w:tcPr>
          <w:p>
            <w:pPr>
              <w:jc w:val="left"/>
            </w:pPr>
            <w:r/>
            <w:r>
              <w:rPr>
                <w:b w:val="0"/>
                <w:sz w:val="20"/>
              </w:rPr>
              <w:t>Chất lượng bài giảm</w:t>
            </w:r>
          </w:p>
        </w:tc>
        <w:tc>
          <w:tcPr>
            <w:tcW w:type="dxa" w:w="6803"/>
            <w:vAlign w:val="center"/>
          </w:tcPr>
          <w:p>
            <w:pPr>
              <w:jc w:val="left"/>
            </w:pPr>
            <w:r/>
            <w:r>
              <w:rPr>
                <w:b w:val="0"/>
                <w:sz w:val="20"/>
              </w:rPr>
              <w:t>Nhóm có ít thời gian kiểm tra, sửa lỗi và hoàn thiện sản phẩm cuối cùng.</w:t>
            </w:r>
          </w:p>
        </w:tc>
      </w:tr>
      <w:tr>
        <w:tc>
          <w:tcPr>
            <w:tcW w:type="dxa" w:w="2268"/>
            <w:vAlign w:val="center"/>
          </w:tcPr>
          <w:p>
            <w:pPr>
              <w:jc w:val="left"/>
            </w:pPr>
            <w:r/>
            <w:r>
              <w:rPr>
                <w:b w:val="0"/>
                <w:sz w:val="20"/>
              </w:rPr>
              <w:t>Mất đoàn kết</w:t>
            </w:r>
          </w:p>
        </w:tc>
        <w:tc>
          <w:tcPr>
            <w:tcW w:type="dxa" w:w="6803"/>
            <w:vAlign w:val="center"/>
          </w:tcPr>
          <w:p>
            <w:pPr>
              <w:jc w:val="left"/>
            </w:pPr>
            <w:r/>
            <w:r>
              <w:rPr>
                <w:b w:val="0"/>
                <w:sz w:val="20"/>
              </w:rPr>
              <w:t>Các thành viên dễ sinh tâm lý khó chịu, trách móc, mất niềm tin vào nhau.</w:t>
            </w:r>
          </w:p>
        </w:tc>
      </w:tr>
      <w:tr>
        <w:tc>
          <w:tcPr>
            <w:tcW w:type="dxa" w:w="2268"/>
            <w:vAlign w:val="center"/>
          </w:tcPr>
          <w:p>
            <w:pPr>
              <w:jc w:val="left"/>
            </w:pPr>
            <w:r/>
            <w:r>
              <w:rPr>
                <w:b w:val="0"/>
                <w:sz w:val="20"/>
              </w:rPr>
              <w:t>Xung đột trở nên nghiêm trọng hơn</w:t>
            </w:r>
          </w:p>
        </w:tc>
        <w:tc>
          <w:tcPr>
            <w:tcW w:type="dxa" w:w="6803"/>
            <w:vAlign w:val="center"/>
          </w:tcPr>
          <w:p>
            <w:pPr>
              <w:jc w:val="left"/>
            </w:pPr>
            <w:r/>
            <w:r>
              <w:rPr>
                <w:b w:val="0"/>
                <w:sz w:val="20"/>
              </w:rPr>
              <w:t>Nếu không nói rõ, sự bức xúc tích tụ lâu ngày có thể dẫn đến tranh cãi gay gắt hoặc chia rẽ nhóm.</w:t>
            </w:r>
          </w:p>
        </w:tc>
      </w:tr>
    </w:tbl>
    <w:p/>
    <w:p>
      <w:pPr>
        <w:pStyle w:val="Heading1"/>
      </w:pPr>
      <w:r>
        <w:rPr>
          <w:rFonts w:ascii="Times New Roman" w:hAnsi="Times New Roman"/>
          <w:color w:val="1F4E79"/>
        </w:rPr>
        <w:t>Bài 2. Đề xuất cách giải quyết</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2465"/>
        <w:gridCol w:w="2465"/>
        <w:gridCol w:w="2465"/>
        <w:gridCol w:w="2465"/>
      </w:tblGrid>
      <w:tr>
        <w:tc>
          <w:tcPr>
            <w:tcW w:type="dxa" w:w="1814"/>
            <w:vAlign w:val="center"/>
            <w:shd w:fill="2F5597"/>
          </w:tcPr>
          <w:p>
            <w:pPr>
              <w:jc w:val="left"/>
            </w:pPr>
            <w:r/>
            <w:r>
              <w:rPr>
                <w:b/>
                <w:color w:val="FFFFFF"/>
                <w:sz w:val="20"/>
              </w:rPr>
              <w:t>Cách giải quyết</w:t>
            </w:r>
          </w:p>
        </w:tc>
        <w:tc>
          <w:tcPr>
            <w:tcW w:type="dxa" w:w="2835"/>
            <w:vAlign w:val="center"/>
            <w:shd w:fill="2F5597"/>
          </w:tcPr>
          <w:p>
            <w:pPr>
              <w:jc w:val="left"/>
            </w:pPr>
            <w:r/>
            <w:r>
              <w:rPr>
                <w:b/>
                <w:color w:val="FFFFFF"/>
                <w:sz w:val="20"/>
              </w:rPr>
              <w:t>Mô tả</w:t>
            </w:r>
          </w:p>
        </w:tc>
        <w:tc>
          <w:tcPr>
            <w:tcW w:type="dxa" w:w="2268"/>
            <w:vAlign w:val="center"/>
            <w:shd w:fill="2F5597"/>
          </w:tcPr>
          <w:p>
            <w:pPr>
              <w:jc w:val="left"/>
            </w:pPr>
            <w:r/>
            <w:r>
              <w:rPr>
                <w:b/>
                <w:color w:val="FFFFFF"/>
                <w:sz w:val="20"/>
              </w:rPr>
              <w:t>Ưu điểm</w:t>
            </w:r>
          </w:p>
        </w:tc>
        <w:tc>
          <w:tcPr>
            <w:tcW w:type="dxa" w:w="2268"/>
            <w:vAlign w:val="center"/>
            <w:shd w:fill="2F5597"/>
          </w:tcPr>
          <w:p>
            <w:pPr>
              <w:jc w:val="left"/>
            </w:pPr>
            <w:r/>
            <w:r>
              <w:rPr>
                <w:b/>
                <w:color w:val="FFFFFF"/>
                <w:sz w:val="20"/>
              </w:rPr>
              <w:t>Nhược điểm</w:t>
            </w:r>
          </w:p>
        </w:tc>
      </w:tr>
      <w:tr>
        <w:tc>
          <w:tcPr>
            <w:tcW w:type="dxa" w:w="1814"/>
            <w:vAlign w:val="center"/>
          </w:tcPr>
          <w:p>
            <w:pPr>
              <w:jc w:val="left"/>
            </w:pPr>
            <w:r/>
            <w:r>
              <w:rPr>
                <w:b w:val="0"/>
                <w:sz w:val="20"/>
              </w:rPr>
              <w:t>Cách 1: Nhóm trưởng trao đổi riêng với thành viên nộp bài trễ</w:t>
            </w:r>
          </w:p>
        </w:tc>
        <w:tc>
          <w:tcPr>
            <w:tcW w:type="dxa" w:w="2835"/>
            <w:vAlign w:val="center"/>
          </w:tcPr>
          <w:p>
            <w:pPr>
              <w:jc w:val="left"/>
            </w:pPr>
            <w:r/>
            <w:r>
              <w:rPr>
                <w:b w:val="0"/>
                <w:sz w:val="20"/>
              </w:rPr>
              <w:t>Nhóm trưởng hẹn nói chuyện riêng, hỏi nguyên nhân, nhắc lại ảnh hưởng đến nhóm và cùng thống nhất thời hạn cụ thể cho các lần sau.</w:t>
            </w:r>
          </w:p>
        </w:tc>
        <w:tc>
          <w:tcPr>
            <w:tcW w:type="dxa" w:w="2268"/>
            <w:vAlign w:val="center"/>
          </w:tcPr>
          <w:p>
            <w:pPr>
              <w:jc w:val="left"/>
            </w:pPr>
            <w:r/>
            <w:r>
              <w:rPr>
                <w:b w:val="0"/>
                <w:sz w:val="20"/>
              </w:rPr>
              <w:t>Giữ thể diện cho người đó; dễ tìm hiểu nguyên nhân thật; giúp thành viên có cơ hội sửa đổi.</w:t>
            </w:r>
          </w:p>
        </w:tc>
        <w:tc>
          <w:tcPr>
            <w:tcW w:type="dxa" w:w="2268"/>
            <w:vAlign w:val="center"/>
          </w:tcPr>
          <w:p>
            <w:pPr>
              <w:jc w:val="left"/>
            </w:pPr>
            <w:r/>
            <w:r>
              <w:rPr>
                <w:b w:val="0"/>
                <w:sz w:val="20"/>
              </w:rPr>
              <w:t>Nếu nhóm trưởng nói chưa khéo, người đó có thể cảm thấy bị phê bình hoặc phòng thủ.</w:t>
            </w:r>
          </w:p>
        </w:tc>
      </w:tr>
      <w:tr>
        <w:tc>
          <w:tcPr>
            <w:tcW w:type="dxa" w:w="1814"/>
            <w:vAlign w:val="center"/>
          </w:tcPr>
          <w:p>
            <w:pPr>
              <w:jc w:val="left"/>
            </w:pPr>
            <w:r/>
            <w:r>
              <w:rPr>
                <w:b w:val="0"/>
                <w:sz w:val="20"/>
              </w:rPr>
              <w:t>Cách 2: Họp nhóm để thống nhất lại quy định làm việc</w:t>
            </w:r>
          </w:p>
        </w:tc>
        <w:tc>
          <w:tcPr>
            <w:tcW w:type="dxa" w:w="2835"/>
            <w:vAlign w:val="center"/>
          </w:tcPr>
          <w:p>
            <w:pPr>
              <w:jc w:val="left"/>
            </w:pPr>
            <w:r/>
            <w:r>
              <w:rPr>
                <w:b w:val="0"/>
                <w:sz w:val="20"/>
              </w:rPr>
              <w:t>Cả nhóm cùng trao đổi về tiến độ, phân công, hạn nộp, cách báo cáo và biện pháp hỗ trợ khi có thành viên gặp khó khăn.</w:t>
            </w:r>
          </w:p>
        </w:tc>
        <w:tc>
          <w:tcPr>
            <w:tcW w:type="dxa" w:w="2268"/>
            <w:vAlign w:val="center"/>
          </w:tcPr>
          <w:p>
            <w:pPr>
              <w:jc w:val="left"/>
            </w:pPr>
            <w:r/>
            <w:r>
              <w:rPr>
                <w:b w:val="0"/>
                <w:sz w:val="20"/>
              </w:rPr>
              <w:t>Tạo sự minh bạch; mọi người cùng chịu trách nhiệm; hạn chế tình trạng phàn nàn sau lưng.</w:t>
            </w:r>
          </w:p>
        </w:tc>
        <w:tc>
          <w:tcPr>
            <w:tcW w:type="dxa" w:w="2268"/>
            <w:vAlign w:val="center"/>
          </w:tcPr>
          <w:p>
            <w:pPr>
              <w:jc w:val="left"/>
            </w:pPr>
            <w:r/>
            <w:r>
              <w:rPr>
                <w:b w:val="0"/>
                <w:sz w:val="20"/>
              </w:rPr>
              <w:t>Có thể gây căng thẳng nếu cuộc họp biến thành chỉ trích cá nhân.</w:t>
            </w:r>
          </w:p>
        </w:tc>
      </w:tr>
    </w:tbl>
    <w:p/>
    <w:p>
      <w:pPr>
        <w:spacing w:after="120" w:line="276" w:lineRule="auto"/>
      </w:pPr>
      <w:r>
        <w:rPr>
          <w:b/>
          <w:sz w:val="24"/>
        </w:rPr>
        <w:t>Phương án tối ưu:</w:t>
      </w:r>
      <w:r>
        <w:rPr>
          <w:sz w:val="24"/>
        </w:rPr>
        <w:t xml:space="preserve"> Nên kết hợp cả hai cách nhưng ưu tiên bắt đầu bằng cách 1. Nhóm trưởng nên trao đổi riêng trước để hiểu nguyên nhân thành viên thường xuyên nộp bài trễ. Sau đó, nhóm có thể họp ngắn để thống nhất lại quy định chung về thời hạn và trách nhiệm. Cách này vừa giải quyết được vấn đề cá nhân, vừa cải thiện cách làm việc của cả nhóm, hạn chế việc đổ lỗi hoặc làm người nộp bài trễ cảm thấy bị cô lập.</w:t>
      </w:r>
    </w:p>
    <w:p>
      <w:pPr>
        <w:pStyle w:val="Heading1"/>
      </w:pPr>
      <w:r>
        <w:rPr>
          <w:rFonts w:ascii="Times New Roman" w:hAnsi="Times New Roman"/>
          <w:color w:val="1F4E79"/>
        </w:rPr>
        <w:t>Bài 3. Mô tả một xung đột từng gặp khi làm việc nhóm</w:t>
      </w:r>
    </w:p>
    <w:p>
      <w:pPr>
        <w:spacing w:after="120" w:line="276" w:lineRule="auto"/>
      </w:pPr>
      <w:r>
        <w:rPr>
          <w:sz w:val="24"/>
        </w:rPr>
        <w:t>Trong một lần làm bài thuyết trình nhóm ở lớp, nhóm tôi được giao chuẩn bị nội dung và slide để trình bày trước lớp. Ban đầu, cả nhóm phân công khá rõ ràng: mỗi người phụ trách một phần nội dung, sau đó gửi lại cho bạn làm slide tổng hợp. Tuy nhiên, đến gần hạn nộp, một thành viên vẫn chưa gửi phần của mình. Vì thiếu phần đó nên bạn làm slide không thể hoàn thiện bố cục, còn các thành viên khác cũng không thể luyện tập bài trình bày đầy đủ. Một số bạn bắt đầu khó chịu và nói riêng với nhau rằng bạn đó thiếu trách nhiệm. Không khí trong nhóm trở nên căng thẳng, nhưng lúc đầu không ai nói trực tiếp vì sợ mất lòng.</w:t>
      </w:r>
    </w:p>
    <w:p>
      <w:pPr>
        <w:spacing w:after="120" w:line="276" w:lineRule="auto"/>
      </w:pPr>
      <w:r>
        <w:rPr>
          <w:sz w:val="24"/>
        </w:rPr>
        <w:t>Sau đó, tôi đề xuất nhóm nên nhắn tin thẳng vào nhóm chung nhưng dùng cách nói nhẹ nhàng, tập trung vào công việc chứ không chỉ trích cá nhân. Tôi viết rằng nhóm đang cần phần nội dung còn thiếu để kịp hoàn thành slide, nếu bạn gặp khó khăn thì có thể báo lại để mọi người hỗ trợ. Sau khi được nhắc, bạn đó giải thích rằng bạn đang bị trùng lịch học và chưa biết cách tóm tắt tài liệu. Vì vậy, nhóm chia nhỏ phần việc: một bạn hỗ trợ tìm ý chính, một bạn chỉnh câu chữ, còn bạn đó hoàn thiện nội dung cuối cùng. Nhờ vậy, nhóm vẫn kịp hoàn thành bài trước hạn.</w:t>
      </w:r>
    </w:p>
    <w:p>
      <w:pPr>
        <w:spacing w:after="120" w:line="276" w:lineRule="auto"/>
      </w:pPr>
      <w:r>
        <w:rPr>
          <w:sz w:val="24"/>
        </w:rPr>
        <w:t>Kết quả là bài thuyết trình của nhóm tuy chưa thật sự xuất sắc nhưng vẫn đầy đủ nội dung và không bị nộp muộn. Quan trọng hơn, sau lần đó nhóm rút kinh nghiệm là phải kiểm tra tiến độ sớm hơn, không chờ đến sát hạn mới nhắc nhau. Nếu được làm lại, tôi sẽ chủ động đề xuất lập lịch nộp từng phần ngay từ đầu và có một buổi kiểm tra tiến độ giữa chừng. Tôi cũng sẽ khuyến khích mọi người nói thẳng nhưng lịch sự khi có vấn đề, vì im lặng hoặc phàn nàn sau lưng chỉ làm xung đột nặng hơn. Cách giao tiếp rõ ràng, tôn trọng và tập trung vào giải pháp sẽ giúp nhóm làm việc hiệu quả hơn.</w:t>
      </w:r>
    </w:p>
    <w:p>
      <w:r>
        <w:br w:type="page"/>
      </w:r>
    </w:p>
    <w:p>
      <w:pPr>
        <w:pStyle w:val="Heading1"/>
      </w:pPr>
      <w:r>
        <w:rPr>
          <w:rFonts w:ascii="Times New Roman" w:hAnsi="Times New Roman"/>
          <w:color w:val="1F4E79"/>
        </w:rPr>
        <w:t>Bài 4. Vai trò của kỹ năng giao tiếp đối với hiệu quả làm việc nhóm</w:t>
      </w:r>
    </w:p>
    <w:p>
      <w:pPr>
        <w:spacing w:after="120" w:line="276" w:lineRule="auto"/>
      </w:pPr>
      <w:r>
        <w:rPr>
          <w:b/>
          <w:sz w:val="24"/>
        </w:rPr>
        <w:t>Theo em,</w:t>
      </w:r>
      <w:r>
        <w:rPr>
          <w:sz w:val="24"/>
        </w:rPr>
        <w:t xml:space="preserve"> kỹ năng giao tiếp có ảnh hưởng rất lớn đến hiệu quả làm việc nhóm. Một nhóm có nhiều thành viên giỏi nhưng giao tiếp kém vẫn dễ gặp hiểu lầm, chậm tiến độ và khó đạt kết quả tốt. Ngược lại, khi các thành viên biết trao đổi rõ ràng, lắng nghe và góp ý phù hợp, nhóm sẽ phối hợp tốt hơn.</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3286"/>
        <w:gridCol w:w="3286"/>
        <w:gridCol w:w="3286"/>
      </w:tblGrid>
      <w:tr>
        <w:tc>
          <w:tcPr>
            <w:tcW w:type="dxa" w:w="2268"/>
            <w:vAlign w:val="center"/>
            <w:shd w:fill="2F5597"/>
          </w:tcPr>
          <w:p>
            <w:pPr>
              <w:jc w:val="left"/>
            </w:pPr>
            <w:r/>
            <w:r>
              <w:rPr>
                <w:b/>
                <w:color w:val="FFFFFF"/>
                <w:sz w:val="20"/>
              </w:rPr>
              <w:t>Vai trò của giao tiếp</w:t>
            </w:r>
          </w:p>
        </w:tc>
        <w:tc>
          <w:tcPr>
            <w:tcW w:type="dxa" w:w="3402"/>
            <w:vAlign w:val="center"/>
            <w:shd w:fill="2F5597"/>
          </w:tcPr>
          <w:p>
            <w:pPr>
              <w:jc w:val="left"/>
            </w:pPr>
            <w:r/>
            <w:r>
              <w:rPr>
                <w:b/>
                <w:color w:val="FFFFFF"/>
                <w:sz w:val="20"/>
              </w:rPr>
              <w:t>Giải thích</w:t>
            </w:r>
          </w:p>
        </w:tc>
        <w:tc>
          <w:tcPr>
            <w:tcW w:type="dxa" w:w="3402"/>
            <w:vAlign w:val="center"/>
            <w:shd w:fill="2F5597"/>
          </w:tcPr>
          <w:p>
            <w:pPr>
              <w:jc w:val="left"/>
            </w:pPr>
            <w:r/>
            <w:r>
              <w:rPr>
                <w:b/>
                <w:color w:val="FFFFFF"/>
                <w:sz w:val="20"/>
              </w:rPr>
              <w:t>Ví dụ minh họa</w:t>
            </w:r>
          </w:p>
        </w:tc>
      </w:tr>
      <w:tr>
        <w:tc>
          <w:tcPr>
            <w:tcW w:type="dxa" w:w="2268"/>
            <w:vAlign w:val="center"/>
          </w:tcPr>
          <w:p>
            <w:pPr>
              <w:jc w:val="left"/>
            </w:pPr>
            <w:r/>
            <w:r>
              <w:rPr>
                <w:b w:val="0"/>
                <w:sz w:val="20"/>
              </w:rPr>
              <w:t>Giúp phân công công việc rõ ràng</w:t>
            </w:r>
          </w:p>
        </w:tc>
        <w:tc>
          <w:tcPr>
            <w:tcW w:type="dxa" w:w="3402"/>
            <w:vAlign w:val="center"/>
          </w:tcPr>
          <w:p>
            <w:pPr>
              <w:jc w:val="left"/>
            </w:pPr>
            <w:r/>
            <w:r>
              <w:rPr>
                <w:b w:val="0"/>
                <w:sz w:val="20"/>
              </w:rPr>
              <w:t>Giao tiếp tốt giúp mỗi người hiểu mình cần làm gì, thời hạn bao lâu và kết quả cần đạt là gì.</w:t>
            </w:r>
          </w:p>
        </w:tc>
        <w:tc>
          <w:tcPr>
            <w:tcW w:type="dxa" w:w="3402"/>
            <w:vAlign w:val="center"/>
          </w:tcPr>
          <w:p>
            <w:pPr>
              <w:jc w:val="left"/>
            </w:pPr>
            <w:r/>
            <w:r>
              <w:rPr>
                <w:b w:val="0"/>
                <w:sz w:val="20"/>
              </w:rPr>
              <w:t>Khi làm thuyết trình, nhóm trưởng nói rõ ai viết nội dung, ai làm slide, ai thuyết trình để tránh trùng việc hoặc thiếu việc.</w:t>
            </w:r>
          </w:p>
        </w:tc>
      </w:tr>
      <w:tr>
        <w:tc>
          <w:tcPr>
            <w:tcW w:type="dxa" w:w="2268"/>
            <w:vAlign w:val="center"/>
          </w:tcPr>
          <w:p>
            <w:pPr>
              <w:jc w:val="left"/>
            </w:pPr>
            <w:r/>
            <w:r>
              <w:rPr>
                <w:b w:val="0"/>
                <w:sz w:val="20"/>
              </w:rPr>
              <w:t>Giúp giải quyết mâu thuẫn kịp thời</w:t>
            </w:r>
          </w:p>
        </w:tc>
        <w:tc>
          <w:tcPr>
            <w:tcW w:type="dxa" w:w="3402"/>
            <w:vAlign w:val="center"/>
          </w:tcPr>
          <w:p>
            <w:pPr>
              <w:jc w:val="left"/>
            </w:pPr>
            <w:r/>
            <w:r>
              <w:rPr>
                <w:b w:val="0"/>
                <w:sz w:val="20"/>
              </w:rPr>
              <w:t>Khi có vấn đề, các thành viên trao đổi trực tiếp và lịch sự sẽ tránh việc hiểu lầm kéo dài.</w:t>
            </w:r>
          </w:p>
        </w:tc>
        <w:tc>
          <w:tcPr>
            <w:tcW w:type="dxa" w:w="3402"/>
            <w:vAlign w:val="center"/>
          </w:tcPr>
          <w:p>
            <w:pPr>
              <w:jc w:val="left"/>
            </w:pPr>
            <w:r/>
            <w:r>
              <w:rPr>
                <w:b w:val="0"/>
                <w:sz w:val="20"/>
              </w:rPr>
              <w:t>Nếu một bạn nộp bài trễ, nhóm nên hỏi nguyên nhân và tìm cách hỗ trợ thay vì chỉ phàn nàn sau lưng.</w:t>
            </w:r>
          </w:p>
        </w:tc>
      </w:tr>
      <w:tr>
        <w:tc>
          <w:tcPr>
            <w:tcW w:type="dxa" w:w="2268"/>
            <w:vAlign w:val="center"/>
          </w:tcPr>
          <w:p>
            <w:pPr>
              <w:jc w:val="left"/>
            </w:pPr>
            <w:r/>
            <w:r>
              <w:rPr>
                <w:b w:val="0"/>
                <w:sz w:val="20"/>
              </w:rPr>
              <w:t>Giúp tăng sự hợp tác và tin tưởng</w:t>
            </w:r>
          </w:p>
        </w:tc>
        <w:tc>
          <w:tcPr>
            <w:tcW w:type="dxa" w:w="3402"/>
            <w:vAlign w:val="center"/>
          </w:tcPr>
          <w:p>
            <w:pPr>
              <w:jc w:val="left"/>
            </w:pPr>
            <w:r/>
            <w:r>
              <w:rPr>
                <w:b w:val="0"/>
                <w:sz w:val="20"/>
              </w:rPr>
              <w:t>Khi mọi người được lắng nghe, họ sẽ cảm thấy được tôn trọng và có trách nhiệm hơn với nhóm.</w:t>
            </w:r>
          </w:p>
        </w:tc>
        <w:tc>
          <w:tcPr>
            <w:tcW w:type="dxa" w:w="3402"/>
            <w:vAlign w:val="center"/>
          </w:tcPr>
          <w:p>
            <w:pPr>
              <w:jc w:val="left"/>
            </w:pPr>
            <w:r/>
            <w:r>
              <w:rPr>
                <w:b w:val="0"/>
                <w:sz w:val="20"/>
              </w:rPr>
              <w:t>Trong buổi họp nhóm, mỗi thành viên đều được nêu ý kiến trước khi chọn phương án cuối cùng.</w:t>
            </w:r>
          </w:p>
        </w:tc>
      </w:tr>
    </w:tbl>
    <w:p/>
    <w:p>
      <w:pPr>
        <w:spacing w:after="120" w:line="276" w:lineRule="auto"/>
      </w:pPr>
      <w:r>
        <w:rPr>
          <w:sz w:val="24"/>
        </w:rPr>
        <w:t>Hai cách cải thiện kỹ năng giao tiếp khi làm việc nhóm:</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4929"/>
        <w:gridCol w:w="4929"/>
      </w:tblGrid>
      <w:tr>
        <w:tc>
          <w:tcPr>
            <w:tcW w:type="dxa" w:w="2835"/>
            <w:vAlign w:val="center"/>
            <w:shd w:fill="2F5597"/>
          </w:tcPr>
          <w:p>
            <w:pPr>
              <w:jc w:val="left"/>
            </w:pPr>
            <w:r/>
            <w:r>
              <w:rPr>
                <w:b/>
                <w:color w:val="FFFFFF"/>
                <w:sz w:val="20"/>
              </w:rPr>
              <w:t>Cách cải thiện</w:t>
            </w:r>
          </w:p>
        </w:tc>
        <w:tc>
          <w:tcPr>
            <w:tcW w:type="dxa" w:w="6236"/>
            <w:vAlign w:val="center"/>
            <w:shd w:fill="2F5597"/>
          </w:tcPr>
          <w:p>
            <w:pPr>
              <w:jc w:val="left"/>
            </w:pPr>
            <w:r/>
            <w:r>
              <w:rPr>
                <w:b/>
                <w:color w:val="FFFFFF"/>
                <w:sz w:val="20"/>
              </w:rPr>
              <w:t>Nội dung thực hiện</w:t>
            </w:r>
          </w:p>
        </w:tc>
      </w:tr>
      <w:tr>
        <w:tc>
          <w:tcPr>
            <w:tcW w:type="dxa" w:w="2835"/>
            <w:vAlign w:val="center"/>
          </w:tcPr>
          <w:p>
            <w:pPr>
              <w:jc w:val="left"/>
            </w:pPr>
            <w:r/>
            <w:r>
              <w:rPr>
                <w:b w:val="0"/>
                <w:sz w:val="20"/>
              </w:rPr>
              <w:t>Lắng nghe chủ động</w:t>
            </w:r>
          </w:p>
        </w:tc>
        <w:tc>
          <w:tcPr>
            <w:tcW w:type="dxa" w:w="6236"/>
            <w:vAlign w:val="center"/>
          </w:tcPr>
          <w:p>
            <w:pPr>
              <w:jc w:val="left"/>
            </w:pPr>
            <w:r/>
            <w:r>
              <w:rPr>
                <w:b w:val="0"/>
                <w:sz w:val="20"/>
              </w:rPr>
              <w:t>Khi người khác nói, cần tập trung nghe, không ngắt lời, có thể hỏi lại để hiểu đúng ý trước khi phản hồi.</w:t>
            </w:r>
          </w:p>
        </w:tc>
      </w:tr>
      <w:tr>
        <w:tc>
          <w:tcPr>
            <w:tcW w:type="dxa" w:w="2835"/>
            <w:vAlign w:val="center"/>
          </w:tcPr>
          <w:p>
            <w:pPr>
              <w:jc w:val="left"/>
            </w:pPr>
            <w:r/>
            <w:r>
              <w:rPr>
                <w:b w:val="0"/>
                <w:sz w:val="20"/>
              </w:rPr>
              <w:t>Góp ý rõ ràng và tôn trọng</w:t>
            </w:r>
          </w:p>
        </w:tc>
        <w:tc>
          <w:tcPr>
            <w:tcW w:type="dxa" w:w="6236"/>
            <w:vAlign w:val="center"/>
          </w:tcPr>
          <w:p>
            <w:pPr>
              <w:jc w:val="left"/>
            </w:pPr>
            <w:r/>
            <w:r>
              <w:rPr>
                <w:b w:val="0"/>
                <w:sz w:val="20"/>
              </w:rPr>
              <w:t>Khi góp ý, nên nói vào vấn đề công việc, tránh công kích cá nhân. Có thể dùng cách nói: “Mình nghĩ phần này nên sửa...” thay vì “Bạn làm sai rồi”.</w:t>
            </w:r>
          </w:p>
        </w:tc>
      </w:tr>
    </w:tbl>
    <w:p/>
    <w:p>
      <w:pPr>
        <w:spacing w:after="120" w:line="276" w:lineRule="auto"/>
      </w:pPr>
      <w:r>
        <w:rPr>
          <w:b/>
          <w:sz w:val="24"/>
        </w:rPr>
        <w:t>Kết luận:</w:t>
      </w:r>
      <w:r>
        <w:rPr>
          <w:sz w:val="24"/>
        </w:rPr>
        <w:t xml:space="preserve"> Giao tiếp là yếu tố quan trọng giúp nhóm hiểu nhau, phối hợp hiệu quả và giải quyết xung đột một cách văn minh. Vì vậy, mỗi thành viên cần rèn luyện cách nói rõ ràng, biết lắng nghe và biết góp ý tích cực.</w:t>
      </w:r>
    </w:p>
    <w:sectPr w:rsidR="00FC693F" w:rsidRPr="0006063C" w:rsidSect="00034616">
      <w:footerReference w:type="default" r:id="rId9"/>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8"/>
      </w:rPr>
      <w:t>BTVN SS04 - Giải quyết xung đột trong làm việc nhóm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