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MetFin is a next‑generation wealth command center that goes far beyond budgeting apps and vanilla robo‑advisors. It unifies public markets, private/alternative assets, employer equity, crypto, and bank deposits into a single, real‑time net worth view, then distills everything into a transparent Wealth Wellness Score with five explanatory sub‑scores (liquidity, diversification, growth, resilience, concentration risk).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Innovation comes from combining this quantitative engine with a scenario simulator (market crash, job loss, major purchase, retirement Monte Carlo, windfall) and an AI advisor chat that explains trade‑offs in plain language and recommends next steps, not just charts.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Under the hood, a FastAPI backend, typed React + TypeScript frontend, and dedicated wellness/scenario engines form a robust, scalable architecture ready to evolve from mocked JSON data to production‑grade integrations (Plaid, exchanges, employer equity platforms).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UX is optimized for high‑income, multi‑asset users: drill‑down dashboards, color‑coded scores, and actionable alerts (e.g., employer stock overexposure, FDIC risk) make complex portfolios intuitive.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MetFin is feasible to ship in stages (manual input → CSV → APIs) while addressing a large, underserved segment with complex wealth profiles, supporting a premium B2C/B2B2C subscription model with strong long‑term impact on financial literacy and resilience.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