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108" w:type="dxa"/>
        <w:tblLayout w:type="fixed"/>
        <w:tblLook w:val="04A0" w:firstRow="1" w:lastRow="0" w:firstColumn="1" w:lastColumn="0" w:noHBand="0" w:noVBand="1"/>
      </w:tblPr>
      <w:tblGrid>
        <w:gridCol w:w="4111"/>
        <w:gridCol w:w="283"/>
        <w:gridCol w:w="5104"/>
      </w:tblGrid>
      <w:tr w:rsidR="00E756FC" w:rsidRPr="000317B6" w14:paraId="24DF60F4" w14:textId="77777777" w:rsidTr="00481173">
        <w:tc>
          <w:tcPr>
            <w:tcW w:w="4111" w:type="dxa"/>
            <w:shd w:val="clear" w:color="auto" w:fill="auto"/>
            <w:vAlign w:val="center"/>
          </w:tcPr>
          <w:p w14:paraId="1BFCDF39" w14:textId="77777777" w:rsidR="000317B6" w:rsidRPr="000317B6" w:rsidRDefault="000317B6" w:rsidP="000317B6">
            <w:pPr>
              <w:spacing w:after="0" w:line="240" w:lineRule="auto"/>
              <w:jc w:val="center"/>
              <w:rPr>
                <w:rFonts w:eastAsia="MS Mincho" w:cs="Times New Roman"/>
                <w:szCs w:val="28"/>
                <w:lang w:eastAsia="ja-JP"/>
              </w:rPr>
            </w:pPr>
            <w:r w:rsidRPr="000317B6">
              <w:rPr>
                <w:rFonts w:eastAsia="MS Mincho" w:cs="Times New Roman"/>
                <w:szCs w:val="28"/>
                <w:lang w:eastAsia="ja-JP"/>
              </w:rPr>
              <w:t>UBND TỈNH LÀO CAI</w:t>
            </w:r>
          </w:p>
        </w:tc>
        <w:tc>
          <w:tcPr>
            <w:tcW w:w="283" w:type="dxa"/>
            <w:shd w:val="clear" w:color="auto" w:fill="auto"/>
            <w:vAlign w:val="center"/>
          </w:tcPr>
          <w:p w14:paraId="4F0C489A" w14:textId="77777777" w:rsidR="000317B6" w:rsidRPr="000317B6" w:rsidRDefault="000317B6" w:rsidP="000317B6">
            <w:pPr>
              <w:spacing w:after="0" w:line="240" w:lineRule="auto"/>
              <w:rPr>
                <w:rFonts w:eastAsia="MS Mincho" w:cs="Times New Roman"/>
                <w:sz w:val="28"/>
                <w:szCs w:val="28"/>
                <w:lang w:eastAsia="ja-JP"/>
              </w:rPr>
            </w:pPr>
          </w:p>
        </w:tc>
        <w:tc>
          <w:tcPr>
            <w:tcW w:w="5104" w:type="dxa"/>
            <w:shd w:val="clear" w:color="auto" w:fill="auto"/>
            <w:vAlign w:val="center"/>
          </w:tcPr>
          <w:p w14:paraId="254A0CF2" w14:textId="77777777" w:rsidR="000317B6" w:rsidRPr="00481173" w:rsidRDefault="000317B6" w:rsidP="000317B6">
            <w:pPr>
              <w:spacing w:after="0" w:line="240" w:lineRule="auto"/>
              <w:ind w:left="-108"/>
              <w:jc w:val="center"/>
              <w:rPr>
                <w:rFonts w:eastAsia="MS Mincho" w:cs="Times New Roman"/>
                <w:b/>
                <w:spacing w:val="-22"/>
                <w:szCs w:val="26"/>
                <w:lang w:eastAsia="ja-JP"/>
              </w:rPr>
            </w:pPr>
            <w:r w:rsidRPr="00481173">
              <w:rPr>
                <w:rFonts w:eastAsia="MS Mincho" w:cs="Times New Roman"/>
                <w:b/>
                <w:spacing w:val="-22"/>
                <w:szCs w:val="26"/>
                <w:lang w:eastAsia="ja-JP"/>
              </w:rPr>
              <w:t>CỘNG HÒA XÃ HỘI CHỦ NGHĨA VIỆT NAM</w:t>
            </w:r>
          </w:p>
        </w:tc>
      </w:tr>
      <w:tr w:rsidR="00E756FC" w:rsidRPr="000317B6" w14:paraId="436CE520" w14:textId="77777777" w:rsidTr="00481173">
        <w:trPr>
          <w:trHeight w:val="454"/>
        </w:trPr>
        <w:tc>
          <w:tcPr>
            <w:tcW w:w="4111" w:type="dxa"/>
            <w:shd w:val="clear" w:color="auto" w:fill="auto"/>
            <w:vAlign w:val="center"/>
          </w:tcPr>
          <w:p w14:paraId="28973D98" w14:textId="77777777" w:rsidR="000317B6" w:rsidRPr="000317B6" w:rsidRDefault="000317B6" w:rsidP="000317B6">
            <w:pPr>
              <w:spacing w:after="0" w:line="240" w:lineRule="auto"/>
              <w:jc w:val="center"/>
              <w:rPr>
                <w:rFonts w:eastAsia="MS Mincho" w:cs="Times New Roman"/>
                <w:b/>
                <w:szCs w:val="28"/>
                <w:lang w:eastAsia="ja-JP"/>
              </w:rPr>
            </w:pPr>
            <w:r w:rsidRPr="000317B6">
              <w:rPr>
                <w:rFonts w:eastAsia="MS Mincho" w:cs="Times New Roman"/>
                <w:b/>
                <w:szCs w:val="28"/>
                <w:lang w:eastAsia="ja-JP"/>
              </w:rPr>
              <w:t>SỞ CÔNG THƯƠNG</w:t>
            </w:r>
          </w:p>
        </w:tc>
        <w:tc>
          <w:tcPr>
            <w:tcW w:w="283" w:type="dxa"/>
            <w:shd w:val="clear" w:color="auto" w:fill="auto"/>
            <w:vAlign w:val="center"/>
          </w:tcPr>
          <w:p w14:paraId="4D22B899" w14:textId="77777777" w:rsidR="000317B6" w:rsidRPr="000317B6" w:rsidRDefault="000317B6" w:rsidP="000317B6">
            <w:pPr>
              <w:spacing w:after="0" w:line="240" w:lineRule="auto"/>
              <w:rPr>
                <w:rFonts w:eastAsia="MS Mincho" w:cs="Times New Roman"/>
                <w:sz w:val="28"/>
                <w:szCs w:val="28"/>
                <w:lang w:eastAsia="ja-JP"/>
              </w:rPr>
            </w:pPr>
          </w:p>
        </w:tc>
        <w:tc>
          <w:tcPr>
            <w:tcW w:w="5104" w:type="dxa"/>
            <w:shd w:val="clear" w:color="auto" w:fill="auto"/>
            <w:vAlign w:val="center"/>
          </w:tcPr>
          <w:p w14:paraId="4810B141" w14:textId="77777777" w:rsidR="000317B6" w:rsidRPr="000317B6" w:rsidRDefault="000317B6" w:rsidP="000317B6">
            <w:pPr>
              <w:spacing w:after="0" w:line="240" w:lineRule="auto"/>
              <w:jc w:val="center"/>
              <w:rPr>
                <w:rFonts w:eastAsia="MS Mincho" w:cs="Times New Roman"/>
                <w:b/>
                <w:sz w:val="28"/>
                <w:szCs w:val="28"/>
                <w:lang w:eastAsia="ja-JP"/>
              </w:rPr>
            </w:pPr>
            <w:r w:rsidRPr="000317B6">
              <w:rPr>
                <w:rFonts w:eastAsia="MS Mincho" w:cs="Times New Roman"/>
                <w:b/>
                <w:sz w:val="28"/>
                <w:szCs w:val="28"/>
                <w:lang w:eastAsia="ja-JP"/>
              </w:rPr>
              <w:t>Độc lập – Tự do – Hạnh phúc</w:t>
            </w:r>
          </w:p>
        </w:tc>
      </w:tr>
      <w:tr w:rsidR="00E756FC" w:rsidRPr="000317B6" w14:paraId="604D0FB8" w14:textId="77777777" w:rsidTr="00481173">
        <w:tc>
          <w:tcPr>
            <w:tcW w:w="4111" w:type="dxa"/>
            <w:shd w:val="clear" w:color="auto" w:fill="auto"/>
            <w:vAlign w:val="center"/>
          </w:tcPr>
          <w:p w14:paraId="439EE6A6" w14:textId="3588A9EC" w:rsidR="000317B6" w:rsidRPr="000317B6" w:rsidRDefault="008C49BC" w:rsidP="000317B6">
            <w:pPr>
              <w:spacing w:before="200" w:line="240" w:lineRule="auto"/>
              <w:jc w:val="center"/>
              <w:rPr>
                <w:rFonts w:eastAsia="MS Mincho" w:cs="Times New Roman"/>
                <w:sz w:val="28"/>
                <w:szCs w:val="28"/>
                <w:lang w:eastAsia="ja-JP"/>
              </w:rPr>
            </w:pPr>
            <w:r w:rsidRPr="000317B6">
              <w:rPr>
                <w:rFonts w:eastAsia="MS Mincho" w:cs="Times New Roman"/>
                <w:b/>
                <w:noProof/>
                <w:szCs w:val="26"/>
              </w:rPr>
              <mc:AlternateContent>
                <mc:Choice Requires="wps">
                  <w:drawing>
                    <wp:anchor distT="0" distB="0" distL="114300" distR="114300" simplePos="0" relativeHeight="251656192" behindDoc="0" locked="0" layoutInCell="1" allowOverlap="1" wp14:anchorId="0E9D1EF9" wp14:editId="3CB9FE3D">
                      <wp:simplePos x="0" y="0"/>
                      <wp:positionH relativeFrom="column">
                        <wp:posOffset>739140</wp:posOffset>
                      </wp:positionH>
                      <wp:positionV relativeFrom="paragraph">
                        <wp:posOffset>11430</wp:posOffset>
                      </wp:positionV>
                      <wp:extent cx="10191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606B3FB3"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2pt,.9pt" to="13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vlLowEAADADAAAOAAAAZHJzL2Uyb0RvYy54bWysUsFu2zAMvQ/YPwi6L7YDZF2NOD2k6C5d&#10;G6DdBzCybAuTRYFUYufvK6lJVmy3YT4Ipkg+vffI9d08WnHUxAZdI6tFKYV2Clvj+kb+fH348k0K&#10;DuBasOh0I0+a5d3m86f15Gu9xAFtq0lEEMf15Bs5hODromA16BF4gV67mOyQRggxpL5oCaaIPtpi&#10;WZZfiwmp9YRKM8fb+/ek3GT8rtMqPHcd6yBsIyO3kE/K5z6dxWYNdU/gB6PONOAfWIxgXHz0CnUP&#10;AcSBzF9Qo1GEjF1YKBwL7DqjdNYQ1VTlH2peBvA6a4nmsL/axP8PVj0dt25Hibqa3Yt/RPWLhcPt&#10;AK7XmcDrycfBVcmqYvJcX1tSwH5HYj/9wDbWwCFgdmHuaEyQUZ+Ys9mnq9l6DkLFy6qsbqublRTq&#10;kiugvjR64vBd4yjSTyOtcckHqOH4yCERgfpSkq4dPhhr8yytE1Mjb1fLVW5gtKZNyVTG1O+3lsQR&#10;0jbkL6uKmY9lhAfXvj9i3Vl00pmWius9tqcdXcyIY8lsziuU5v4xzt2/F33zBgAA//8DAFBLAwQU&#10;AAYACAAAACEAH7k9GNsAAAAHAQAADwAAAGRycy9kb3ducmV2LnhtbEyPwU7DMBBE70j8g7VIXKrW&#10;aUABQpwKAblxoVBx3cZLEhGv09htA1/PwgVuO5rR7JtiNbleHWgMnWcDy0UCirj2tuPGwOtLNb8G&#10;FSKyxd4zGfikAKvy9KTA3PojP9NhHRslJRxyNNDGOORah7olh2HhB2Lx3v3oMIocG21HPEq563Wa&#10;JJl22LF8aHGg+5bqj/XeGQjVhnbV16yeJW8Xjad09/D0iMacn013t6AiTfEvDD/4gg6lMG39nm1Q&#10;vehldilROWSB+OlVdgNq+6t1Wej//OU3AAAA//8DAFBLAQItABQABgAIAAAAIQC2gziS/gAAAOEB&#10;AAATAAAAAAAAAAAAAAAAAAAAAABbQ29udGVudF9UeXBlc10ueG1sUEsBAi0AFAAGAAgAAAAhADj9&#10;If/WAAAAlAEAAAsAAAAAAAAAAAAAAAAALwEAAF9yZWxzLy5yZWxzUEsBAi0AFAAGAAgAAAAhAG1G&#10;+UujAQAAMAMAAA4AAAAAAAAAAAAAAAAALgIAAGRycy9lMm9Eb2MueG1sUEsBAi0AFAAGAAgAAAAh&#10;AB+5PRjbAAAABwEAAA8AAAAAAAAAAAAAAAAA/QMAAGRycy9kb3ducmV2LnhtbFBLBQYAAAAABAAE&#10;APMAAAAFBQAAAAA=&#10;"/>
                  </w:pict>
                </mc:Fallback>
              </mc:AlternateContent>
            </w:r>
            <w:r w:rsidR="000317B6" w:rsidRPr="000317B6">
              <w:rPr>
                <w:rFonts w:eastAsia="MS Mincho" w:cs="Times New Roman"/>
                <w:szCs w:val="26"/>
                <w:lang w:eastAsia="ja-JP"/>
              </w:rPr>
              <w:t xml:space="preserve">Số:        </w:t>
            </w:r>
            <w:r w:rsidR="00F71805">
              <w:rPr>
                <w:rFonts w:eastAsia="MS Mincho" w:cs="Times New Roman"/>
                <w:szCs w:val="26"/>
                <w:lang w:eastAsia="ja-JP"/>
              </w:rPr>
              <w:t xml:space="preserve"> </w:t>
            </w:r>
            <w:r w:rsidR="000317B6" w:rsidRPr="000317B6">
              <w:rPr>
                <w:rFonts w:eastAsia="MS Mincho" w:cs="Times New Roman"/>
                <w:szCs w:val="26"/>
                <w:lang w:eastAsia="ja-JP"/>
              </w:rPr>
              <w:t xml:space="preserve"> </w:t>
            </w:r>
            <w:r w:rsidR="00317E95">
              <w:rPr>
                <w:rFonts w:eastAsia="MS Mincho" w:cs="Times New Roman"/>
                <w:szCs w:val="26"/>
                <w:lang w:eastAsia="ja-JP"/>
              </w:rPr>
              <w:t xml:space="preserve">    </w:t>
            </w:r>
            <w:r w:rsidR="000317B6" w:rsidRPr="000317B6">
              <w:rPr>
                <w:rFonts w:eastAsia="MS Mincho" w:cs="Times New Roman"/>
                <w:szCs w:val="26"/>
                <w:lang w:eastAsia="ja-JP"/>
              </w:rPr>
              <w:t xml:space="preserve"> /SCT-CN</w:t>
            </w:r>
          </w:p>
        </w:tc>
        <w:tc>
          <w:tcPr>
            <w:tcW w:w="283" w:type="dxa"/>
            <w:shd w:val="clear" w:color="auto" w:fill="auto"/>
            <w:vAlign w:val="center"/>
          </w:tcPr>
          <w:p w14:paraId="420348F8" w14:textId="77777777" w:rsidR="000317B6" w:rsidRPr="000317B6" w:rsidRDefault="000317B6" w:rsidP="000317B6">
            <w:pPr>
              <w:spacing w:before="200" w:line="240" w:lineRule="auto"/>
              <w:rPr>
                <w:rFonts w:eastAsia="MS Mincho" w:cs="Times New Roman"/>
                <w:sz w:val="28"/>
                <w:szCs w:val="28"/>
                <w:lang w:eastAsia="ja-JP"/>
              </w:rPr>
            </w:pPr>
          </w:p>
        </w:tc>
        <w:tc>
          <w:tcPr>
            <w:tcW w:w="5104" w:type="dxa"/>
            <w:shd w:val="clear" w:color="auto" w:fill="auto"/>
            <w:vAlign w:val="center"/>
          </w:tcPr>
          <w:p w14:paraId="131323B2" w14:textId="77777777" w:rsidR="000317B6" w:rsidRPr="000317B6" w:rsidRDefault="008C49BC" w:rsidP="000317B6">
            <w:pPr>
              <w:spacing w:before="200" w:line="240" w:lineRule="auto"/>
              <w:jc w:val="center"/>
              <w:rPr>
                <w:rFonts w:eastAsia="MS Mincho" w:cs="Times New Roman"/>
                <w:i/>
                <w:spacing w:val="6"/>
                <w:sz w:val="28"/>
                <w:szCs w:val="28"/>
                <w:lang w:eastAsia="ja-JP"/>
              </w:rPr>
            </w:pPr>
            <w:r w:rsidRPr="000317B6">
              <w:rPr>
                <w:rFonts w:eastAsia="MS Mincho" w:cs="Times New Roman"/>
                <w:i/>
                <w:noProof/>
                <w:spacing w:val="6"/>
                <w:szCs w:val="26"/>
              </w:rPr>
              <mc:AlternateContent>
                <mc:Choice Requires="wps">
                  <w:drawing>
                    <wp:anchor distT="0" distB="0" distL="114300" distR="114300" simplePos="0" relativeHeight="251663360" behindDoc="0" locked="0" layoutInCell="1" allowOverlap="1" wp14:anchorId="465B4473" wp14:editId="365DC4E6">
                      <wp:simplePos x="0" y="0"/>
                      <wp:positionH relativeFrom="column">
                        <wp:posOffset>475615</wp:posOffset>
                      </wp:positionH>
                      <wp:positionV relativeFrom="paragraph">
                        <wp:posOffset>4445</wp:posOffset>
                      </wp:positionV>
                      <wp:extent cx="21050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DDADB76"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5pt,.35pt" to="203.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z7QoAEAADADAAAOAAAAZHJzL2Uyb0RvYy54bWysUsFu2zAMvQ/YPwi6L3ICZNiMOD2kaC/d&#10;FqDdBzCybAuVRYFUYufvJ6lJNnS3YT4Qpkg9vffIzd08OnEyxBZ9I5eLSgrjNbbW9438+fLw6YsU&#10;HMG34NCbRp4Ny7vtxw+bKdRmhQO61pBIIJ7rKTRyiDHUSrEezAi8wGB8KnZII8SUUq9agimhj06t&#10;quqzmpDaQKgNczq9fyvKbcHvOqPjj65jE4VrZOIWS6QSDzmq7QbqniAMVl9owD+wGMH69OgN6h4i&#10;iCPZv6BGqwkZu7jQOCrsOqtN0ZDULKt3ap4HCKZoSeZwuNnE/w9Wfz/t/J4ydT375/CE+pWFx90A&#10;vjeFwMs5pMEts1VqClzfruSEw57EYfqGbeqBY8TiwtzRmCGTPjEXs883s80chU6Hq2W1rlZrKfS1&#10;pqC+XgzE8dHgKPJPI5312Qeo4fTEMROB+tqSjz0+WOfKLJ0XUyO/rhNyrjA62+ZiSag/7ByJE+Rt&#10;KF9R9a6N8Ojbt0ecv4jOOvNScX3A9rynqxlpLIXNZYXy3P/My+3fi779BQAA//8DAFBLAwQUAAYA&#10;CAAAACEAnqyKO9kAAAAEAQAADwAAAGRycy9kb3ducmV2LnhtbEyOwU7DMBBE70j8g7VIXCpqU6IC&#10;IU6FgNy4UEBct/GSRMTrNHbbwNezPcFpNJrRzCtWk+/VnsbYBbZwOTegiOvgOm4svL1WFzegYkJ2&#10;2AcmC98UYVWenhSYu3DgF9qvU6NkhGOOFtqUhlzrWLfkMc7DQCzZZxg9JrFjo92IBxn3vV4Ys9Qe&#10;O5aHFgd6aKn+Wu+8hVi907b6mdUz83HVBFpsH5+f0Nrzs+n+DlSiKf2V4Ygv6FAK0ybs2EXVW7jO&#10;bqUpCkrSzCwzUJuj1WWh/8OXvwAAAP//AwBQSwECLQAUAAYACAAAACEAtoM4kv4AAADhAQAAEwAA&#10;AAAAAAAAAAAAAAAAAAAAW0NvbnRlbnRfVHlwZXNdLnhtbFBLAQItABQABgAIAAAAIQA4/SH/1gAA&#10;AJQBAAALAAAAAAAAAAAAAAAAAC8BAABfcmVscy8ucmVsc1BLAQItABQABgAIAAAAIQC5Cz7QoAEA&#10;ADADAAAOAAAAAAAAAAAAAAAAAC4CAABkcnMvZTJvRG9jLnhtbFBLAQItABQABgAIAAAAIQCerIo7&#10;2QAAAAQBAAAPAAAAAAAAAAAAAAAAAPoDAABkcnMvZG93bnJldi54bWxQSwUGAAAAAAQABADzAAAA&#10;AAUAAAAA&#10;"/>
                  </w:pict>
                </mc:Fallback>
              </mc:AlternateContent>
            </w:r>
            <w:r w:rsidR="000317B6" w:rsidRPr="000317B6">
              <w:rPr>
                <w:rFonts w:eastAsia="MS Mincho" w:cs="Times New Roman"/>
                <w:i/>
                <w:spacing w:val="6"/>
                <w:szCs w:val="26"/>
                <w:lang w:eastAsia="ja-JP"/>
              </w:rPr>
              <w:t xml:space="preserve"> Lào Cai, ngày  </w:t>
            </w:r>
            <w:r w:rsidR="001E07ED">
              <w:rPr>
                <w:rFonts w:eastAsia="MS Mincho" w:cs="Times New Roman"/>
                <w:i/>
                <w:spacing w:val="6"/>
                <w:szCs w:val="26"/>
                <w:lang w:eastAsia="ja-JP"/>
              </w:rPr>
              <w:t xml:space="preserve"> </w:t>
            </w:r>
            <w:r w:rsidR="00F71805">
              <w:rPr>
                <w:rFonts w:eastAsia="MS Mincho" w:cs="Times New Roman"/>
                <w:i/>
                <w:spacing w:val="6"/>
                <w:szCs w:val="26"/>
                <w:lang w:eastAsia="ja-JP"/>
              </w:rPr>
              <w:t xml:space="preserve"> </w:t>
            </w:r>
            <w:r w:rsidR="000317B6" w:rsidRPr="000317B6">
              <w:rPr>
                <w:rFonts w:eastAsia="MS Mincho" w:cs="Times New Roman"/>
                <w:i/>
                <w:spacing w:val="6"/>
                <w:szCs w:val="26"/>
                <w:lang w:eastAsia="ja-JP"/>
              </w:rPr>
              <w:t xml:space="preserve">  </w:t>
            </w:r>
            <w:r w:rsidR="00F71805">
              <w:rPr>
                <w:rFonts w:eastAsia="MS Mincho" w:cs="Times New Roman"/>
                <w:i/>
                <w:spacing w:val="6"/>
                <w:szCs w:val="26"/>
                <w:lang w:eastAsia="ja-JP"/>
              </w:rPr>
              <w:t xml:space="preserve"> </w:t>
            </w:r>
            <w:r w:rsidR="000317B6" w:rsidRPr="000317B6">
              <w:rPr>
                <w:rFonts w:eastAsia="MS Mincho" w:cs="Times New Roman"/>
                <w:i/>
                <w:spacing w:val="6"/>
                <w:szCs w:val="26"/>
                <w:lang w:eastAsia="ja-JP"/>
              </w:rPr>
              <w:t xml:space="preserve"> tháng </w:t>
            </w:r>
            <w:r w:rsidR="001E07ED">
              <w:rPr>
                <w:rFonts w:eastAsia="MS Mincho" w:cs="Times New Roman"/>
                <w:i/>
                <w:spacing w:val="6"/>
                <w:szCs w:val="26"/>
                <w:lang w:eastAsia="ja-JP"/>
              </w:rPr>
              <w:t>09</w:t>
            </w:r>
            <w:r w:rsidR="000317B6" w:rsidRPr="000317B6">
              <w:rPr>
                <w:rFonts w:eastAsia="MS Mincho" w:cs="Times New Roman"/>
                <w:i/>
                <w:spacing w:val="6"/>
                <w:szCs w:val="26"/>
                <w:lang w:eastAsia="ja-JP"/>
              </w:rPr>
              <w:t xml:space="preserve"> năm 2026</w:t>
            </w:r>
          </w:p>
        </w:tc>
      </w:tr>
      <w:tr w:rsidR="008D1E96" w:rsidRPr="000317B6" w14:paraId="09E06590" w14:textId="77777777" w:rsidTr="002B5002">
        <w:tc>
          <w:tcPr>
            <w:tcW w:w="4394" w:type="dxa"/>
            <w:gridSpan w:val="2"/>
            <w:shd w:val="clear" w:color="auto" w:fill="auto"/>
            <w:vAlign w:val="center"/>
          </w:tcPr>
          <w:p w14:paraId="2F1258F7" w14:textId="6436D256" w:rsidR="008D1E96" w:rsidRPr="000317B6" w:rsidRDefault="008D1E96" w:rsidP="008D1E96">
            <w:pPr>
              <w:spacing w:after="0" w:line="240" w:lineRule="auto"/>
              <w:jc w:val="center"/>
              <w:rPr>
                <w:rFonts w:eastAsia="MS Mincho" w:cs="Times New Roman"/>
                <w:sz w:val="28"/>
                <w:szCs w:val="28"/>
                <w:lang w:val="nl-NL" w:eastAsia="ja-JP"/>
              </w:rPr>
            </w:pPr>
            <w:r w:rsidRPr="00E756FC">
              <w:rPr>
                <w:rFonts w:eastAsia="MS Mincho" w:cs="Times New Roman"/>
                <w:sz w:val="24"/>
                <w:szCs w:val="24"/>
                <w:lang w:eastAsia="ja-JP"/>
              </w:rPr>
              <w:t>V/v tham gia ý kiến Đề cương kiểm định chất lượng công trình Kho VLNCN tại mỏ đá Bản Cầm, xã Phong Hải, tỉnh Lào Cai</w:t>
            </w:r>
          </w:p>
        </w:tc>
        <w:tc>
          <w:tcPr>
            <w:tcW w:w="5104" w:type="dxa"/>
            <w:shd w:val="clear" w:color="auto" w:fill="auto"/>
            <w:vAlign w:val="center"/>
          </w:tcPr>
          <w:p w14:paraId="6DEBCB3A" w14:textId="77777777" w:rsidR="008D1E96" w:rsidRPr="000317B6" w:rsidRDefault="008D1E96" w:rsidP="000317B6">
            <w:pPr>
              <w:spacing w:before="180" w:after="0" w:line="240" w:lineRule="auto"/>
              <w:jc w:val="center"/>
              <w:rPr>
                <w:rFonts w:eastAsia="MS Mincho" w:cs="Times New Roman"/>
                <w:i/>
                <w:spacing w:val="6"/>
                <w:sz w:val="28"/>
                <w:szCs w:val="28"/>
                <w:lang w:val="nl-NL" w:eastAsia="ja-JP"/>
              </w:rPr>
            </w:pPr>
          </w:p>
        </w:tc>
      </w:tr>
    </w:tbl>
    <w:p w14:paraId="00A4F199" w14:textId="77777777" w:rsidR="000317B6" w:rsidRPr="0057540C" w:rsidRDefault="000317B6" w:rsidP="0057540C">
      <w:pPr>
        <w:spacing w:before="120" w:after="0" w:line="240" w:lineRule="auto"/>
        <w:jc w:val="both"/>
        <w:rPr>
          <w:sz w:val="28"/>
          <w:szCs w:val="28"/>
        </w:rPr>
      </w:pPr>
    </w:p>
    <w:p w14:paraId="52D53B78" w14:textId="77777777" w:rsidR="00167015" w:rsidRPr="00E756FC" w:rsidRDefault="00F81BDC" w:rsidP="001B0071">
      <w:pPr>
        <w:spacing w:after="0" w:line="240" w:lineRule="auto"/>
        <w:jc w:val="center"/>
        <w:rPr>
          <w:sz w:val="28"/>
          <w:szCs w:val="28"/>
        </w:rPr>
      </w:pPr>
      <w:r w:rsidRPr="00E756FC">
        <w:rPr>
          <w:sz w:val="28"/>
          <w:szCs w:val="28"/>
        </w:rPr>
        <w:t>Kính gửi: Công ty cổ phần Phú Hà</w:t>
      </w:r>
    </w:p>
    <w:p w14:paraId="59574FF9" w14:textId="77777777" w:rsidR="000317B6" w:rsidRPr="00E756FC" w:rsidRDefault="000317B6" w:rsidP="001B0071">
      <w:pPr>
        <w:spacing w:after="0" w:line="240" w:lineRule="auto"/>
        <w:jc w:val="center"/>
        <w:rPr>
          <w:sz w:val="28"/>
          <w:szCs w:val="28"/>
        </w:rPr>
      </w:pPr>
    </w:p>
    <w:p w14:paraId="05A3DF8C" w14:textId="77777777" w:rsidR="00D0718D" w:rsidRDefault="008622AA" w:rsidP="008D1E96">
      <w:pPr>
        <w:spacing w:before="120" w:after="0" w:line="240" w:lineRule="auto"/>
        <w:ind w:firstLine="720"/>
        <w:jc w:val="both"/>
        <w:rPr>
          <w:sz w:val="28"/>
          <w:szCs w:val="28"/>
        </w:rPr>
      </w:pPr>
      <w:r w:rsidRPr="008622AA">
        <w:rPr>
          <w:sz w:val="28"/>
          <w:szCs w:val="28"/>
        </w:rPr>
        <w:t xml:space="preserve">Sở Công Thương nhận được Văn bản số 0709/2026/CV-PH ngày 07/9/2026 của Công ty Cổ phần Phú Hà </w:t>
      </w:r>
      <w:r>
        <w:rPr>
          <w:sz w:val="28"/>
          <w:szCs w:val="28"/>
        </w:rPr>
        <w:t xml:space="preserve">về việc </w:t>
      </w:r>
      <w:r w:rsidRPr="008622AA">
        <w:rPr>
          <w:sz w:val="28"/>
          <w:szCs w:val="28"/>
        </w:rPr>
        <w:t>xin ý kiến đối với Đề cương kiểm định, đánh giá chất lượng tại Kho vật liệu nổ công nghiệp (VLNCN) tại mỏ đá Bản Cầm, xã Phong Hải, tỉnh Lào Cai</w:t>
      </w:r>
      <w:r>
        <w:rPr>
          <w:sz w:val="28"/>
          <w:szCs w:val="28"/>
        </w:rPr>
        <w:t xml:space="preserve">, </w:t>
      </w:r>
      <w:r w:rsidRPr="00E756FC">
        <w:rPr>
          <w:sz w:val="28"/>
          <w:szCs w:val="28"/>
        </w:rPr>
        <w:t>kèm theo Đề cương kiểm định chất lượng công trình xây dựng</w:t>
      </w:r>
      <w:r w:rsidRPr="008622AA">
        <w:t xml:space="preserve"> </w:t>
      </w:r>
      <w:r w:rsidRPr="008622AA">
        <w:rPr>
          <w:sz w:val="28"/>
          <w:szCs w:val="28"/>
        </w:rPr>
        <w:t>do Trung tâm Tư vấn giám sát và Quản lý dự án xây dựng tỉnh Lào Cai (đơn vị trực thuộc Sở Xây dựng tỉnh Lào Cai) lập.</w:t>
      </w:r>
      <w:r>
        <w:rPr>
          <w:sz w:val="28"/>
          <w:szCs w:val="28"/>
        </w:rPr>
        <w:t xml:space="preserve"> </w:t>
      </w:r>
    </w:p>
    <w:p w14:paraId="7AC3BA66" w14:textId="77777777" w:rsidR="00312F01" w:rsidRDefault="00D0718D" w:rsidP="008D1E96">
      <w:pPr>
        <w:spacing w:before="120" w:after="0" w:line="240" w:lineRule="auto"/>
        <w:ind w:firstLine="720"/>
        <w:jc w:val="both"/>
        <w:rPr>
          <w:sz w:val="28"/>
          <w:szCs w:val="28"/>
        </w:rPr>
      </w:pPr>
      <w:r>
        <w:rPr>
          <w:sz w:val="28"/>
          <w:szCs w:val="28"/>
        </w:rPr>
        <w:t>Căn cứ: K</w:t>
      </w:r>
      <w:r w:rsidRPr="00D0718D">
        <w:rPr>
          <w:sz w:val="28"/>
          <w:szCs w:val="28"/>
        </w:rPr>
        <w:t>hoản 5 Điều 4 Thông tư số 32/2026/TT-BXD ngày 22/6/2026</w:t>
      </w:r>
      <w:r>
        <w:rPr>
          <w:sz w:val="28"/>
          <w:szCs w:val="28"/>
        </w:rPr>
        <w:t xml:space="preserve"> </w:t>
      </w:r>
      <w:r w:rsidRPr="00D0718D">
        <w:rPr>
          <w:sz w:val="28"/>
          <w:szCs w:val="28"/>
        </w:rPr>
        <w:t>(hiệu lực từ ngày 01/07/2026) của Bộ Xây dựng 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w:t>
      </w:r>
      <w:r>
        <w:rPr>
          <w:sz w:val="28"/>
          <w:szCs w:val="28"/>
        </w:rPr>
        <w:t xml:space="preserve">; Văn bản số 5400/SCT-CN ngày 04/9/2026 của Sở Công Thương tỉnh Lào Cai về việc phúc đáp đề nghị hướng dẫn thực hiện an toàn đưa kho VLNCN vào sử dụng. </w:t>
      </w:r>
      <w:r w:rsidR="00312F01" w:rsidRPr="00312F01">
        <w:rPr>
          <w:sz w:val="28"/>
          <w:szCs w:val="28"/>
        </w:rPr>
        <w:t>Sau khi nghiên cứu hồ sơ, tài liệu do Công ty Cổ phần Phú Hà cung cấp, Sở Công Thương tỉnh Lào Cai có ý kiến đối với dự thảo Đề cương kiểm định chất lượng công trình xây dựng nêu trên như sau:</w:t>
      </w:r>
    </w:p>
    <w:p w14:paraId="41D2D244" w14:textId="77777777" w:rsidR="0032029E" w:rsidRPr="00317E95" w:rsidRDefault="008622AA" w:rsidP="008D1E96">
      <w:pPr>
        <w:spacing w:before="120" w:after="0" w:line="240" w:lineRule="auto"/>
        <w:ind w:firstLine="720"/>
        <w:jc w:val="both"/>
        <w:rPr>
          <w:b/>
          <w:spacing w:val="-6"/>
          <w:sz w:val="28"/>
          <w:szCs w:val="28"/>
        </w:rPr>
      </w:pPr>
      <w:r w:rsidRPr="00317E95">
        <w:rPr>
          <w:b/>
          <w:spacing w:val="-6"/>
          <w:sz w:val="28"/>
          <w:szCs w:val="28"/>
        </w:rPr>
        <w:t xml:space="preserve">1. Về thành phần, bố cục và nội dung chính Dự thảo Đề cương </w:t>
      </w:r>
      <w:r w:rsidR="0032029E" w:rsidRPr="00317E95">
        <w:rPr>
          <w:b/>
          <w:spacing w:val="-6"/>
          <w:sz w:val="28"/>
          <w:szCs w:val="28"/>
        </w:rPr>
        <w:t>kiểm định</w:t>
      </w:r>
    </w:p>
    <w:p w14:paraId="4FD9543E" w14:textId="77777777" w:rsidR="008622AA" w:rsidRDefault="0032029E" w:rsidP="008D1E96">
      <w:pPr>
        <w:spacing w:before="120" w:after="0" w:line="240" w:lineRule="auto"/>
        <w:ind w:firstLine="720"/>
        <w:jc w:val="both"/>
        <w:rPr>
          <w:sz w:val="28"/>
          <w:szCs w:val="28"/>
        </w:rPr>
      </w:pPr>
      <w:r w:rsidRPr="0032029E">
        <w:rPr>
          <w:sz w:val="28"/>
          <w:szCs w:val="28"/>
        </w:rPr>
        <w:t>Qua rà soát, dự thảo Đề cương kiểm định đã cơ bản thể hiện đầy đủ các nhóm nội dung theo quy định tại khoản 3 Điều 4 Thông tư số 32/2026/TT-BXD, gồm:</w:t>
      </w:r>
      <w:r w:rsidR="008622AA" w:rsidRPr="008622AA">
        <w:rPr>
          <w:sz w:val="28"/>
          <w:szCs w:val="28"/>
        </w:rPr>
        <w:t xml:space="preserve"> (a) Mục đích, yêu cầu, đối tượng và nội dung kiểm định; (b) Danh mục quy chuẩn, tiêu chuẩn áp dụng; (c) Thông tin năng lực cá nhân, phòng thí nghiệm; (d) Quy trình, phương pháp thực hiện; (đ) Tiến độ; (e) Dự toán chi phí và (g) Các nội dung cần thiết khác.</w:t>
      </w:r>
    </w:p>
    <w:p w14:paraId="5F81AAAF" w14:textId="77777777" w:rsidR="0032029E" w:rsidRDefault="0032029E" w:rsidP="008D1E96">
      <w:pPr>
        <w:spacing w:before="120" w:after="0" w:line="240" w:lineRule="auto"/>
        <w:ind w:firstLine="720"/>
        <w:jc w:val="both"/>
        <w:rPr>
          <w:b/>
          <w:sz w:val="28"/>
          <w:szCs w:val="28"/>
        </w:rPr>
      </w:pPr>
      <w:r w:rsidRPr="0032029E">
        <w:rPr>
          <w:b/>
          <w:sz w:val="28"/>
          <w:szCs w:val="28"/>
        </w:rPr>
        <w:t>2. Về loại công trình và cấp công trình</w:t>
      </w:r>
    </w:p>
    <w:p w14:paraId="0C7DE574" w14:textId="77777777" w:rsidR="0032029E" w:rsidRDefault="0032029E" w:rsidP="008D1E96">
      <w:pPr>
        <w:spacing w:before="120" w:after="0" w:line="240" w:lineRule="auto"/>
        <w:ind w:firstLine="720"/>
        <w:jc w:val="both"/>
        <w:rPr>
          <w:sz w:val="28"/>
          <w:szCs w:val="28"/>
        </w:rPr>
      </w:pPr>
      <w:r w:rsidRPr="0032029E">
        <w:rPr>
          <w:sz w:val="28"/>
          <w:szCs w:val="28"/>
        </w:rPr>
        <w:t>Theo nội dung dự thảo Đề cương, Kho VLNCN có sức chứa 05 tấn được xác định là công trình công nghiệp, cấp công trình II.</w:t>
      </w:r>
      <w:r>
        <w:rPr>
          <w:sz w:val="28"/>
          <w:szCs w:val="28"/>
        </w:rPr>
        <w:t xml:space="preserve"> </w:t>
      </w:r>
      <w:r w:rsidRPr="0032029E">
        <w:rPr>
          <w:sz w:val="28"/>
          <w:szCs w:val="28"/>
        </w:rPr>
        <w:t>Việc xác định loại và cấp công trình nêu trên phù hợp với quy định tại điểm b Mục 1.2.6.8 Bảng 1.2 Phụ lục I ban hành kèm theo Thông tư số 34/2026/TT-BXD ngày 25/6/2026 của Bộ Xây dựng, trong đó quy định kho chứa VLNCN loại cố định nổi và nửa ngầm có sức chứa ≤10 tấn thuộc công trình cấp II.</w:t>
      </w:r>
    </w:p>
    <w:p w14:paraId="54D83981" w14:textId="77777777" w:rsidR="0032029E" w:rsidRPr="0032029E" w:rsidRDefault="0032029E" w:rsidP="008D1E96">
      <w:pPr>
        <w:spacing w:before="120" w:after="0" w:line="240" w:lineRule="auto"/>
        <w:ind w:firstLine="720"/>
        <w:jc w:val="both"/>
        <w:rPr>
          <w:b/>
          <w:sz w:val="28"/>
          <w:szCs w:val="28"/>
        </w:rPr>
      </w:pPr>
      <w:r w:rsidRPr="0032029E">
        <w:rPr>
          <w:b/>
          <w:sz w:val="28"/>
          <w:szCs w:val="28"/>
        </w:rPr>
        <w:lastRenderedPageBreak/>
        <w:t>3. Về quy chuẩn, tiêu chuẩn áp dụng và phương pháp kiểm định</w:t>
      </w:r>
    </w:p>
    <w:p w14:paraId="0622E3B5" w14:textId="77777777" w:rsidR="0032029E" w:rsidRDefault="0032029E" w:rsidP="008D1E96">
      <w:pPr>
        <w:spacing w:before="120" w:after="0" w:line="240" w:lineRule="auto"/>
        <w:ind w:firstLine="720"/>
        <w:jc w:val="both"/>
        <w:rPr>
          <w:sz w:val="28"/>
          <w:szCs w:val="28"/>
        </w:rPr>
      </w:pPr>
      <w:r w:rsidRPr="0032029E">
        <w:rPr>
          <w:sz w:val="28"/>
          <w:szCs w:val="28"/>
        </w:rPr>
        <w:t>- Danh mục các quy chuẩn, tiêu chuẩn áp dụng</w:t>
      </w:r>
      <w:r>
        <w:rPr>
          <w:sz w:val="28"/>
          <w:szCs w:val="28"/>
        </w:rPr>
        <w:t>:</w:t>
      </w:r>
      <w:r w:rsidRPr="0032029E">
        <w:rPr>
          <w:sz w:val="28"/>
          <w:szCs w:val="28"/>
        </w:rPr>
        <w:t xml:space="preserve"> Qua rà soát, danh mục quy chuẩn, tiêu chuẩn dự kiến áp dụng trong Đề cương kiểm định, gồm: QCVN 01:2019/BCT, TCVN 9381:2012, TCVN 9335:2012, TCVN 9385:2012 và các tiêu chuẩn liên quan khác, là phù hợp với nội dung kiểm định, đánh giá chất lượng công trình.</w:t>
      </w:r>
    </w:p>
    <w:p w14:paraId="03864211" w14:textId="77777777" w:rsidR="0032029E" w:rsidRDefault="00F01A74" w:rsidP="008D1E96">
      <w:pPr>
        <w:spacing w:before="120" w:after="0" w:line="240" w:lineRule="auto"/>
        <w:ind w:firstLine="720"/>
        <w:jc w:val="both"/>
        <w:rPr>
          <w:sz w:val="28"/>
          <w:szCs w:val="28"/>
        </w:rPr>
      </w:pPr>
      <w:r>
        <w:rPr>
          <w:sz w:val="28"/>
          <w:szCs w:val="28"/>
        </w:rPr>
        <w:t xml:space="preserve">- </w:t>
      </w:r>
      <w:r w:rsidRPr="00F01A74">
        <w:rPr>
          <w:sz w:val="28"/>
          <w:szCs w:val="28"/>
        </w:rPr>
        <w:t>Phương pháp thực hiện kiểm định</w:t>
      </w:r>
      <w:r w:rsidR="0032029E">
        <w:rPr>
          <w:sz w:val="28"/>
          <w:szCs w:val="28"/>
        </w:rPr>
        <w:t>:</w:t>
      </w:r>
      <w:r w:rsidR="0032029E" w:rsidRPr="0032029E">
        <w:t xml:space="preserve"> </w:t>
      </w:r>
      <w:r w:rsidR="0032029E" w:rsidRPr="0032029E">
        <w:rPr>
          <w:sz w:val="28"/>
          <w:szCs w:val="28"/>
        </w:rPr>
        <w:t>Phương pháp kiểm định dự kiến thực hiện gồm: kiểm tra, đo đạc kích thước hình học; kiểm tra, đánh giá chất lượng bê tông bằng phương pháp siêu âm kết hợp súng bật nẩy; đo điện trở tiếp địa hệ thống chống sét; đánh giá mức độ nguy hiểm của kết cấu công trình theo TCVN 9381:2012. Các phương pháp nêu trên cơ bản đáp ứng yêu cầu phục vụ việc đánh giá hiện trạng, chất lượng và điều kiện an toàn của công trình Kho VLNCN.</w:t>
      </w:r>
    </w:p>
    <w:p w14:paraId="50A13934" w14:textId="77777777" w:rsidR="00F01A74" w:rsidRPr="0032029E" w:rsidRDefault="00F01A74" w:rsidP="008D1E96">
      <w:pPr>
        <w:spacing w:before="120" w:after="0" w:line="240" w:lineRule="auto"/>
        <w:ind w:firstLine="720"/>
        <w:jc w:val="both"/>
        <w:rPr>
          <w:b/>
          <w:sz w:val="28"/>
          <w:szCs w:val="28"/>
        </w:rPr>
      </w:pPr>
      <w:r w:rsidRPr="0032029E">
        <w:rPr>
          <w:b/>
          <w:sz w:val="28"/>
          <w:szCs w:val="28"/>
        </w:rPr>
        <w:t xml:space="preserve">4. Về năng lực của tổ chức, cá nhân </w:t>
      </w:r>
      <w:r w:rsidR="0032029E" w:rsidRPr="0032029E">
        <w:rPr>
          <w:b/>
          <w:sz w:val="28"/>
          <w:szCs w:val="28"/>
        </w:rPr>
        <w:t xml:space="preserve">thực hiện </w:t>
      </w:r>
      <w:r w:rsidRPr="0032029E">
        <w:rPr>
          <w:b/>
          <w:sz w:val="28"/>
          <w:szCs w:val="28"/>
        </w:rPr>
        <w:t>kiểm định</w:t>
      </w:r>
    </w:p>
    <w:p w14:paraId="541C4E1D" w14:textId="77777777" w:rsidR="007C5463" w:rsidRDefault="007C5463" w:rsidP="008D1E96">
      <w:pPr>
        <w:spacing w:before="120" w:after="0" w:line="240" w:lineRule="auto"/>
        <w:ind w:firstLine="720"/>
        <w:jc w:val="both"/>
        <w:rPr>
          <w:sz w:val="28"/>
          <w:szCs w:val="28"/>
        </w:rPr>
      </w:pPr>
      <w:r>
        <w:rPr>
          <w:sz w:val="28"/>
          <w:szCs w:val="28"/>
        </w:rPr>
        <w:t xml:space="preserve">Tổ chức thực hiện kiểm định là </w:t>
      </w:r>
      <w:r w:rsidRPr="007C5463">
        <w:rPr>
          <w:sz w:val="28"/>
          <w:szCs w:val="28"/>
        </w:rPr>
        <w:t>Trung tâm Tư vấn giám sát và Quản lý dự án xây dựng tỉnh Lào Cai (đơn vị trực</w:t>
      </w:r>
      <w:r>
        <w:rPr>
          <w:sz w:val="28"/>
          <w:szCs w:val="28"/>
        </w:rPr>
        <w:t xml:space="preserve"> thuộc Sở Xây dựng tỉnh Lào Cai; </w:t>
      </w:r>
      <w:r w:rsidRPr="007C5463">
        <w:rPr>
          <w:sz w:val="28"/>
          <w:szCs w:val="28"/>
        </w:rPr>
        <w:t>Địa chỉ trụ sở: Km3, Đại lộ Trần Hưng Đạo,</w:t>
      </w:r>
      <w:r>
        <w:rPr>
          <w:sz w:val="28"/>
          <w:szCs w:val="28"/>
        </w:rPr>
        <w:t xml:space="preserve"> phường Cam Đường, tỉnh Lào Cai; </w:t>
      </w:r>
      <w:r w:rsidRPr="007C5463">
        <w:rPr>
          <w:sz w:val="28"/>
          <w:szCs w:val="28"/>
        </w:rPr>
        <w:t>Thông tin năng lực hoạt động: Trung tâm được thành lập UBND tỉnh Lào tại các Quyết định số: 1127/QĐ-UBND ngày 08/5/2008; 1646/QĐ-UBND ngày 11/6/2019; 2483/QĐ-UBND ngày 25/10/2022; 168/QĐ-UBND ngày 25/01/20</w:t>
      </w:r>
      <w:r>
        <w:rPr>
          <w:sz w:val="28"/>
          <w:szCs w:val="28"/>
        </w:rPr>
        <w:t>24; 216/QĐ-UBND ngày 01/7/2025).</w:t>
      </w:r>
    </w:p>
    <w:p w14:paraId="5CEDA0A6" w14:textId="77777777" w:rsidR="00820767" w:rsidRDefault="00820767" w:rsidP="008D1E96">
      <w:pPr>
        <w:spacing w:before="120" w:after="0" w:line="240" w:lineRule="auto"/>
        <w:ind w:firstLine="720"/>
        <w:jc w:val="both"/>
        <w:rPr>
          <w:sz w:val="28"/>
          <w:szCs w:val="28"/>
        </w:rPr>
      </w:pPr>
      <w:r>
        <w:rPr>
          <w:sz w:val="28"/>
          <w:szCs w:val="28"/>
        </w:rPr>
        <w:t>Theo dự thảo Đề cương, đơn vị tư vấn dự kiến sử dụng: (i) Phòng thí nghiệm và kiểm định chất lượng công trình (LAS-XD 1688) đã được công bố năng lực đủ điều kiện hoạt động thí nghiệm chuyên ngành xây dựng tại Bản công bố số 01/CB-TVGS&amp;QLDA ngày 14/4/2026 và số 02/CB-TVGS&amp;QLDA ngày 27/5/2026, cùng các thiết bị phục vụ kiểm định như máy toàn đạc điện tử, thiết bị kiểm tra cường độ bê tông, thiết bị đo điện trở đất và các thiết bị liên quan khác; (ii) Về nhân sự tham gia thực hiện kiểm định: Đơn vị tư vấn bố trí các cá nhân gồm ông Lê Xuân Huy (chứng chỉ hành nghề số LCA-00018776, giám sát công tác xây dựng công trình, hạng II, thời hạn đến ngày 17/6/2035) làm Chủ trì kiểm định; ông Đỗ Văn Mạnh (chứng chỉ hành nghề số LCA-00024009, thiết kế kết cấu công trình, hạng II, thời hạn đến ngày 17/4/2028) phụ trách nội dung tính toán kết cấu; ông Phùng Anh Tuấn (chứng chỉ hành nghề số LCA-00102722, khảo sát địa hình, hạng II, thời hạn đến ngày 26/4/2027) phụ trách công tác trắc đạc; cùng các cá nhân có chứng chỉ chuyên môn phù hợp khác.</w:t>
      </w:r>
    </w:p>
    <w:p w14:paraId="2338F2A6" w14:textId="77777777" w:rsidR="00820767" w:rsidRDefault="00820767" w:rsidP="008D1E96">
      <w:pPr>
        <w:spacing w:before="120" w:after="0" w:line="240" w:lineRule="auto"/>
        <w:ind w:firstLine="720"/>
        <w:jc w:val="both"/>
        <w:rPr>
          <w:sz w:val="28"/>
          <w:szCs w:val="28"/>
        </w:rPr>
      </w:pPr>
      <w:r w:rsidRPr="00820767">
        <w:rPr>
          <w:sz w:val="28"/>
          <w:szCs w:val="28"/>
        </w:rPr>
        <w:t xml:space="preserve">Căn cứ khoản 1 và khoản 2 Điều 88 Luật Xây dựng số 135/2025/QH15 và khoản 1 Điều 28 Nghị định số 212/2026/NĐ-CP, chứng chỉ hành nghề hoạt động xây dựng chỉ được cấp cho bốn lĩnh vực gồm khảo sát xây dựng, lập quy hoạch đô thị và nông thôn, thiết kế xây dựng và giám sát thi công xây dựng; cá nhân đảm nhận chức danh chủ trì kiểm định xây dựng phải đáp ứng điều kiện năng lực, kinh </w:t>
      </w:r>
      <w:r w:rsidRPr="00820767">
        <w:rPr>
          <w:sz w:val="28"/>
          <w:szCs w:val="28"/>
        </w:rPr>
        <w:lastRenderedPageBreak/>
        <w:t>nghiệm nghề nghiệp, pháp luật hiện hành không quy định chứng chỉ hành nghề riêng mang tên “kiểm định xây dựng”. Việc lựa chọn, bố trí nhân sự tham gia kiểm định phải bảo đảm phù hợp với yêu cầu chuyên môn, kinh nghiệm nghề nghiệp và nội dung công việc thực hiện. Cùng với đó, Trung tâm Tư vấn giám sát và Quản lý dự án xây dựng tỉnh Lào Cai là đơn vị sự nghiệp công lập trực thuộc Sở Xây dựng tỉnh Lào Cai, độc lập với Công ty cổ phần Phú Hà và với các nhà thầu khảo sát xây dựng, thiết kế xây dựng, thi công xây dựng, cung ứng sản phẩm xây dựng, quản lý dự án và giám sát thi công xây dựng công trình kho, đáp ứng yêu cầu về tính độc lập của tổ chức kiểm định quy định tại khoản 5 Điều 4 Thông tư số 32/2026/TT-BXD. Do đó, trên cơ sở hồ sơ do Công ty cổ phần Phú Hà cung cấp cho thấy tổ chức thực hiện kiểm định đủ tư cách pháp nhân, phòng thí nghiệm và thành phần nhân sự nêu trong Đề cương cơ bản phù hợp với các nội dung công việc kiểm định dự kiến thực hiện.</w:t>
      </w:r>
    </w:p>
    <w:p w14:paraId="5AC184D3" w14:textId="77777777" w:rsidR="00820767" w:rsidRPr="00A6253A" w:rsidRDefault="00A6253A" w:rsidP="008D1E96">
      <w:pPr>
        <w:spacing w:before="120" w:after="0" w:line="240" w:lineRule="auto"/>
        <w:ind w:firstLine="720"/>
        <w:jc w:val="both"/>
        <w:rPr>
          <w:b/>
          <w:sz w:val="28"/>
          <w:szCs w:val="28"/>
        </w:rPr>
      </w:pPr>
      <w:r w:rsidRPr="00A6253A">
        <w:rPr>
          <w:b/>
          <w:sz w:val="28"/>
          <w:szCs w:val="28"/>
        </w:rPr>
        <w:t>5. Một số nội dung đề nghị hoàn thiện, bổ sung trước khi phê duyệt Đề cương:</w:t>
      </w:r>
      <w:r w:rsidRPr="00A6253A">
        <w:rPr>
          <w:sz w:val="28"/>
          <w:szCs w:val="28"/>
        </w:rPr>
        <w:t xml:space="preserve"> (i) Đề cương chưa thể hiện nội dung kết luận về khả năng tiếp tục sử dụng an toàn và thời gian sử dụng còn lại của công trình, các bộ phận, hạng mục công trình và thiết bị lắp đặt vào công trình; đây là căn cứ bắt buộc để lập, phê duyệt quy trình bảo trì theo quy định tại khoản 3 Điều 34 Nghị định số 207/2026/NĐ-CP, đề nghị bổ sung vào nội dung tổng hợp kết quả và lập báo cáo kiểm định; (ii) Phần tổng hợp, phân tích, đánh giá của Đề cương mới đánh giá mức độ nguy hiểm của kết cấu theo TCVN 9381:2012, đề nghị bổ sung kết luận riêng về sự phù hợp của kho với các yêu cầu an toàn tại QCVN 01:2019/BCT tương ứng sức chứa 05 tấn, trong đó có khoảng cách an toàn theo Phụ lục 7, hệ thống chống sét và tiếp đất, hàng rào bảo vệ, ụ đất ngăn cách, thông gió, sàn và kệ bảo quản; (iii) Đề nghị kết luận dứt điểm trong báo cáo kiểm định về các sai khác giữa hồ sơ thiết kế và hồ sơ hoàn công năm 2014 đã được nêu tại Đề cương (cấp độ bền bê tông mái, kết cấu nền, hệ thống cửa) và khả năng đáp ứng yêu cầu chịu lực, chống đột nhập, an toàn vận hành; (iv) Đề cương còn để trống số, ngày ký hợp đồng tư vấn kiểm định và một số ô khối lượng tại bảng tổng hợp khối lượng chính dự kiến thực hiện kiểm định, đề nghị bổ sung đầy đủ; (v) Về thể thức trình bày, tại Mục 3.2.2 (Khảo sát hiện trạng kết cấu công trình) thứ tự các tiểu mục (c), (d), (e) bị lặp lại, đề nghị rà soát, chỉnh sửa để bảo đảm tính thống nhất, chặt chẽ của Đề cương.</w:t>
      </w:r>
    </w:p>
    <w:p w14:paraId="4D11672C" w14:textId="77777777" w:rsidR="00820767" w:rsidRDefault="001B0071" w:rsidP="008D1E96">
      <w:pPr>
        <w:spacing w:before="120" w:after="0" w:line="240" w:lineRule="auto"/>
        <w:ind w:firstLine="720"/>
        <w:jc w:val="both"/>
        <w:rPr>
          <w:sz w:val="28"/>
          <w:szCs w:val="28"/>
        </w:rPr>
      </w:pPr>
      <w:r w:rsidRPr="001B0071">
        <w:rPr>
          <w:sz w:val="28"/>
          <w:szCs w:val="28"/>
        </w:rPr>
        <w:t xml:space="preserve">Trên cơ sở các nội dung đã rà soát, Sở Công Thương tỉnh Lào Cai cơ bản thống nhất về mặt chuyên môn đối với các nội dung chính của dự thảo Đề cương kiểm định chất lượng công trình Kho VLNCN nêu trên. Đề nghị Công ty cổ phần Phú Hà chỉ đạo đơn vị tư vấn hoàn thiện các nội dung nêu tại Mục 5, thực hiện phê duyệt Đề cương và tổ chức kiểm định theo quy định tại khoản 2 Điều 4 Thông tư số 32/2026/TT-BXD; trường hợp kết quả kiểm định không đáp ứng được yêu cầu thiết kế, quy chuẩn kỹ thuật, tiêu chuẩn áp dụng thì Công ty có trách nhiệm tổ chức đánh giá và khắc phục theo quy định tại khoản 6 Điều 4 Thông tư số 32/2026/TT-BXD. Sau khi hoàn thành kiểm định, đề nghị Công ty gửi Báo cáo kết quả kiểm định, quy </w:t>
      </w:r>
      <w:r w:rsidRPr="001B0071">
        <w:rPr>
          <w:sz w:val="28"/>
          <w:szCs w:val="28"/>
        </w:rPr>
        <w:lastRenderedPageBreak/>
        <w:t>trình bảo trì công trình đã phê duyệt và kết quả khắc phục tồn tại (nếu có) về Sở Công Thương theo nội dung Văn bản số 5400/SCT-CN ngày 04/9/2026.</w:t>
      </w:r>
    </w:p>
    <w:p w14:paraId="2FAFD8A1" w14:textId="77777777" w:rsidR="00851B47" w:rsidRDefault="00F81BDC" w:rsidP="008D1E96">
      <w:pPr>
        <w:spacing w:before="120" w:after="0" w:line="240" w:lineRule="auto"/>
        <w:ind w:firstLine="720"/>
        <w:jc w:val="both"/>
        <w:rPr>
          <w:sz w:val="28"/>
          <w:szCs w:val="28"/>
        </w:rPr>
      </w:pPr>
      <w:r w:rsidRPr="00E756FC">
        <w:rPr>
          <w:sz w:val="28"/>
          <w:szCs w:val="28"/>
        </w:rPr>
        <w:t xml:space="preserve">Sở Công Thương tỉnh Lào Cai </w:t>
      </w:r>
      <w:r w:rsidR="00851B47">
        <w:rPr>
          <w:sz w:val="28"/>
          <w:szCs w:val="28"/>
        </w:rPr>
        <w:t xml:space="preserve">trao đổi để </w:t>
      </w:r>
      <w:r w:rsidR="00851B47" w:rsidRPr="00851B47">
        <w:rPr>
          <w:sz w:val="28"/>
          <w:szCs w:val="28"/>
        </w:rPr>
        <w:t>Công ty Cổ phần Phú Hà</w:t>
      </w:r>
      <w:r w:rsidR="00851B47">
        <w:rPr>
          <w:sz w:val="28"/>
          <w:szCs w:val="28"/>
        </w:rPr>
        <w:t xml:space="preserve"> biết và thực hiện./.</w:t>
      </w:r>
    </w:p>
    <w:p w14:paraId="08166392" w14:textId="77777777" w:rsidR="00B71C79" w:rsidRPr="00E756FC" w:rsidRDefault="00B71C79" w:rsidP="00B71C79">
      <w:pPr>
        <w:spacing w:after="0" w:line="240" w:lineRule="auto"/>
        <w:ind w:firstLine="720"/>
        <w:jc w:val="both"/>
        <w:rPr>
          <w:sz w:val="28"/>
          <w:szCs w:val="28"/>
        </w:rPr>
      </w:pP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1266"/>
        <w:gridCol w:w="3871"/>
      </w:tblGrid>
      <w:tr w:rsidR="00E756FC" w:rsidRPr="00B71C79" w14:paraId="51949418" w14:textId="77777777" w:rsidTr="00916A5A">
        <w:trPr>
          <w:jc w:val="center"/>
        </w:trPr>
        <w:tc>
          <w:tcPr>
            <w:tcW w:w="2330" w:type="pct"/>
          </w:tcPr>
          <w:p w14:paraId="5DF68BAA" w14:textId="77777777" w:rsidR="00B71C79" w:rsidRDefault="00B71C79" w:rsidP="00B71C79">
            <w:pPr>
              <w:rPr>
                <w:sz w:val="24"/>
                <w:szCs w:val="24"/>
                <w:lang w:eastAsia="ja-JP"/>
              </w:rPr>
            </w:pPr>
            <w:r w:rsidRPr="00B71C79">
              <w:rPr>
                <w:b/>
                <w:i/>
                <w:sz w:val="24"/>
                <w:szCs w:val="24"/>
                <w:lang w:eastAsia="ja-JP"/>
              </w:rPr>
              <w:t>Nơi nhận:</w:t>
            </w:r>
            <w:r w:rsidRPr="00B71C79">
              <w:rPr>
                <w:sz w:val="24"/>
                <w:szCs w:val="24"/>
                <w:lang w:eastAsia="ja-JP"/>
              </w:rPr>
              <w:br/>
              <w:t>- Như trên;</w:t>
            </w:r>
          </w:p>
          <w:p w14:paraId="5658D85E" w14:textId="77777777" w:rsidR="001461FE" w:rsidRPr="00B71C79" w:rsidRDefault="001461FE" w:rsidP="00B71C79">
            <w:pPr>
              <w:rPr>
                <w:sz w:val="24"/>
                <w:szCs w:val="24"/>
                <w:lang w:eastAsia="ja-JP"/>
              </w:rPr>
            </w:pPr>
            <w:r>
              <w:rPr>
                <w:sz w:val="24"/>
                <w:szCs w:val="24"/>
                <w:lang w:eastAsia="ja-JP"/>
              </w:rPr>
              <w:t>- Sở Xây dựng (để P/h);</w:t>
            </w:r>
          </w:p>
          <w:p w14:paraId="29715F4C" w14:textId="56EBA377" w:rsidR="00B71C79" w:rsidRPr="00B71C79" w:rsidRDefault="00B71C79" w:rsidP="00B71C79">
            <w:pPr>
              <w:rPr>
                <w:rFonts w:eastAsia="MS Mincho"/>
                <w:sz w:val="28"/>
                <w:szCs w:val="28"/>
                <w:lang w:eastAsia="ja-JP"/>
              </w:rPr>
            </w:pPr>
            <w:r w:rsidRPr="00B71C79">
              <w:rPr>
                <w:sz w:val="24"/>
                <w:szCs w:val="24"/>
                <w:lang w:eastAsia="ja-JP"/>
              </w:rPr>
              <w:t>- Ban Giám đốc Sở;</w:t>
            </w:r>
            <w:r w:rsidRPr="00B71C79">
              <w:rPr>
                <w:sz w:val="24"/>
                <w:szCs w:val="24"/>
                <w:lang w:eastAsia="ja-JP"/>
              </w:rPr>
              <w:br/>
              <w:t xml:space="preserve">- Lưu: VT, CN </w:t>
            </w:r>
            <w:r w:rsidRPr="00B71C79">
              <w:rPr>
                <w:sz w:val="24"/>
                <w:szCs w:val="24"/>
                <w:vertAlign w:val="subscript"/>
                <w:lang w:eastAsia="ja-JP"/>
              </w:rPr>
              <w:t>(Dũng).</w:t>
            </w:r>
            <w:r w:rsidRPr="00B71C79">
              <w:rPr>
                <w:szCs w:val="28"/>
                <w:lang w:eastAsia="ja-JP"/>
              </w:rPr>
              <w:br/>
            </w:r>
            <w:r w:rsidRPr="00B71C79">
              <w:rPr>
                <w:szCs w:val="28"/>
                <w:lang w:eastAsia="ja-JP"/>
              </w:rPr>
              <w:br/>
            </w:r>
          </w:p>
        </w:tc>
        <w:tc>
          <w:tcPr>
            <w:tcW w:w="658" w:type="pct"/>
            <w:vAlign w:val="center"/>
          </w:tcPr>
          <w:p w14:paraId="7D61B595" w14:textId="77777777" w:rsidR="00B71C79" w:rsidRPr="00B71C79" w:rsidRDefault="00B71C79" w:rsidP="00B71C79">
            <w:pPr>
              <w:rPr>
                <w:rFonts w:eastAsia="MS Mincho"/>
                <w:sz w:val="28"/>
                <w:szCs w:val="28"/>
                <w:lang w:eastAsia="ja-JP"/>
              </w:rPr>
            </w:pPr>
          </w:p>
        </w:tc>
        <w:tc>
          <w:tcPr>
            <w:tcW w:w="2012" w:type="pct"/>
            <w:vAlign w:val="center"/>
          </w:tcPr>
          <w:p w14:paraId="28800034" w14:textId="77777777" w:rsidR="00B71C79" w:rsidRPr="00B71C79" w:rsidRDefault="00B71C79" w:rsidP="00B71C79">
            <w:pPr>
              <w:jc w:val="center"/>
              <w:rPr>
                <w:rFonts w:eastAsia="MS Mincho"/>
                <w:sz w:val="28"/>
                <w:szCs w:val="28"/>
                <w:lang w:eastAsia="ja-JP"/>
              </w:rPr>
            </w:pPr>
            <w:r w:rsidRPr="00B71C79">
              <w:rPr>
                <w:b/>
                <w:szCs w:val="28"/>
                <w:lang w:eastAsia="ja-JP"/>
              </w:rPr>
              <w:t>KT. GIÁM ĐỐC</w:t>
            </w:r>
            <w:r w:rsidRPr="00B71C79">
              <w:rPr>
                <w:szCs w:val="28"/>
                <w:lang w:eastAsia="ja-JP"/>
              </w:rPr>
              <w:br/>
            </w:r>
            <w:r w:rsidRPr="00B71C79">
              <w:rPr>
                <w:b/>
                <w:szCs w:val="28"/>
                <w:lang w:eastAsia="ja-JP"/>
              </w:rPr>
              <w:t>PHÓ GIÁM ĐỐC</w:t>
            </w:r>
            <w:r w:rsidRPr="00B71C79">
              <w:rPr>
                <w:szCs w:val="28"/>
                <w:lang w:eastAsia="ja-JP"/>
              </w:rPr>
              <w:br/>
            </w:r>
            <w:r w:rsidRPr="00B71C79">
              <w:rPr>
                <w:szCs w:val="28"/>
                <w:lang w:eastAsia="ja-JP"/>
              </w:rPr>
              <w:br/>
            </w:r>
            <w:r w:rsidRPr="00B71C79">
              <w:rPr>
                <w:szCs w:val="28"/>
                <w:lang w:eastAsia="ja-JP"/>
              </w:rPr>
              <w:br/>
            </w:r>
            <w:r w:rsidRPr="00B71C79">
              <w:rPr>
                <w:szCs w:val="28"/>
                <w:lang w:eastAsia="ja-JP"/>
              </w:rPr>
              <w:br/>
            </w:r>
            <w:r w:rsidRPr="00B71C79">
              <w:rPr>
                <w:szCs w:val="28"/>
                <w:lang w:eastAsia="ja-JP"/>
              </w:rPr>
              <w:br/>
            </w:r>
            <w:r w:rsidRPr="00B71C79">
              <w:rPr>
                <w:szCs w:val="28"/>
                <w:lang w:eastAsia="ja-JP"/>
              </w:rPr>
              <w:br/>
            </w:r>
            <w:r w:rsidRPr="00B71C79">
              <w:rPr>
                <w:szCs w:val="28"/>
                <w:lang w:eastAsia="ja-JP"/>
              </w:rPr>
              <w:br/>
            </w:r>
            <w:r w:rsidRPr="00B71C79">
              <w:rPr>
                <w:b/>
                <w:szCs w:val="28"/>
                <w:lang w:eastAsia="ja-JP"/>
              </w:rPr>
              <w:t>Hoàng Văn Thuân</w:t>
            </w:r>
          </w:p>
        </w:tc>
      </w:tr>
    </w:tbl>
    <w:p w14:paraId="4C024851" w14:textId="77777777" w:rsidR="00B71C79" w:rsidRPr="00E756FC" w:rsidRDefault="00B71C79" w:rsidP="00E634E5">
      <w:pPr>
        <w:spacing w:before="120" w:after="0" w:line="360" w:lineRule="exact"/>
        <w:ind w:firstLine="720"/>
        <w:jc w:val="both"/>
        <w:rPr>
          <w:sz w:val="28"/>
          <w:szCs w:val="28"/>
        </w:rPr>
      </w:pPr>
    </w:p>
    <w:sectPr w:rsidR="00B71C79" w:rsidRPr="00E756FC" w:rsidSect="001B0071">
      <w:headerReference w:type="default" r:id="rId8"/>
      <w:pgSz w:w="12240" w:h="15840" w:code="1"/>
      <w:pgMar w:top="1134" w:right="1134" w:bottom="1134" w:left="1701" w:header="39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633AC" w14:textId="77777777" w:rsidR="00B532D9" w:rsidRDefault="00B532D9" w:rsidP="00E756FC">
      <w:pPr>
        <w:spacing w:after="0" w:line="240" w:lineRule="auto"/>
      </w:pPr>
      <w:r>
        <w:separator/>
      </w:r>
    </w:p>
  </w:endnote>
  <w:endnote w:type="continuationSeparator" w:id="0">
    <w:p w14:paraId="37A9D37A" w14:textId="77777777" w:rsidR="00B532D9" w:rsidRDefault="00B532D9" w:rsidP="00E75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A9142" w14:textId="77777777" w:rsidR="00B532D9" w:rsidRDefault="00B532D9" w:rsidP="00E756FC">
      <w:pPr>
        <w:spacing w:after="0" w:line="240" w:lineRule="auto"/>
      </w:pPr>
      <w:r>
        <w:separator/>
      </w:r>
    </w:p>
  </w:footnote>
  <w:footnote w:type="continuationSeparator" w:id="0">
    <w:p w14:paraId="2ABBC09D" w14:textId="77777777" w:rsidR="00B532D9" w:rsidRDefault="00B532D9" w:rsidP="00E75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854877"/>
      <w:docPartObj>
        <w:docPartGallery w:val="Page Numbers (Top of Page)"/>
        <w:docPartUnique/>
      </w:docPartObj>
    </w:sdtPr>
    <w:sdtEndPr>
      <w:rPr>
        <w:noProof/>
        <w:sz w:val="28"/>
        <w:szCs w:val="28"/>
      </w:rPr>
    </w:sdtEndPr>
    <w:sdtContent>
      <w:p w14:paraId="281E9514" w14:textId="77777777" w:rsidR="00916A5A" w:rsidRPr="00E756FC" w:rsidRDefault="00916A5A">
        <w:pPr>
          <w:pStyle w:val="Header"/>
          <w:jc w:val="center"/>
          <w:rPr>
            <w:sz w:val="28"/>
            <w:szCs w:val="28"/>
          </w:rPr>
        </w:pPr>
        <w:r w:rsidRPr="00E756FC">
          <w:rPr>
            <w:sz w:val="28"/>
            <w:szCs w:val="28"/>
          </w:rPr>
          <w:fldChar w:fldCharType="begin"/>
        </w:r>
        <w:r w:rsidRPr="00E756FC">
          <w:rPr>
            <w:sz w:val="28"/>
            <w:szCs w:val="28"/>
          </w:rPr>
          <w:instrText xml:space="preserve"> PAGE   \* MERGEFORMAT </w:instrText>
        </w:r>
        <w:r w:rsidRPr="00E756FC">
          <w:rPr>
            <w:sz w:val="28"/>
            <w:szCs w:val="28"/>
          </w:rPr>
          <w:fldChar w:fldCharType="separate"/>
        </w:r>
        <w:r w:rsidR="00A12A49">
          <w:rPr>
            <w:noProof/>
            <w:sz w:val="28"/>
            <w:szCs w:val="28"/>
          </w:rPr>
          <w:t>3</w:t>
        </w:r>
        <w:r w:rsidRPr="00E756FC">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B6"/>
    <w:rsid w:val="00034616"/>
    <w:rsid w:val="0004521D"/>
    <w:rsid w:val="0006063C"/>
    <w:rsid w:val="000A0782"/>
    <w:rsid w:val="000D23F4"/>
    <w:rsid w:val="001461FE"/>
    <w:rsid w:val="0015074B"/>
    <w:rsid w:val="00167015"/>
    <w:rsid w:val="0017697C"/>
    <w:rsid w:val="001B0071"/>
    <w:rsid w:val="001E07ED"/>
    <w:rsid w:val="001E5F30"/>
    <w:rsid w:val="001E6404"/>
    <w:rsid w:val="002061AC"/>
    <w:rsid w:val="0029639D"/>
    <w:rsid w:val="002D67E5"/>
    <w:rsid w:val="00312F01"/>
    <w:rsid w:val="00317E95"/>
    <w:rsid w:val="0032009B"/>
    <w:rsid w:val="0032029E"/>
    <w:rsid w:val="00326F90"/>
    <w:rsid w:val="00340BF4"/>
    <w:rsid w:val="003E4E4C"/>
    <w:rsid w:val="00400A7C"/>
    <w:rsid w:val="00464E1C"/>
    <w:rsid w:val="00481173"/>
    <w:rsid w:val="004A75E0"/>
    <w:rsid w:val="005112C4"/>
    <w:rsid w:val="005472BB"/>
    <w:rsid w:val="00565FCA"/>
    <w:rsid w:val="0057540C"/>
    <w:rsid w:val="005A01BC"/>
    <w:rsid w:val="005F0F9E"/>
    <w:rsid w:val="005F5BDF"/>
    <w:rsid w:val="006F619D"/>
    <w:rsid w:val="00732DE4"/>
    <w:rsid w:val="00761CA2"/>
    <w:rsid w:val="007B56CA"/>
    <w:rsid w:val="007C5463"/>
    <w:rsid w:val="007D32AD"/>
    <w:rsid w:val="00820767"/>
    <w:rsid w:val="00851B47"/>
    <w:rsid w:val="008622AA"/>
    <w:rsid w:val="0088274D"/>
    <w:rsid w:val="008C49BC"/>
    <w:rsid w:val="008D1E96"/>
    <w:rsid w:val="00910A7C"/>
    <w:rsid w:val="00916A5A"/>
    <w:rsid w:val="009172B0"/>
    <w:rsid w:val="00A12A49"/>
    <w:rsid w:val="00A6253A"/>
    <w:rsid w:val="00AA1D8D"/>
    <w:rsid w:val="00B47730"/>
    <w:rsid w:val="00B532D9"/>
    <w:rsid w:val="00B66E4B"/>
    <w:rsid w:val="00B71C79"/>
    <w:rsid w:val="00CB0664"/>
    <w:rsid w:val="00CB0E1D"/>
    <w:rsid w:val="00D0718D"/>
    <w:rsid w:val="00D35838"/>
    <w:rsid w:val="00E634E5"/>
    <w:rsid w:val="00E756FC"/>
    <w:rsid w:val="00E777FA"/>
    <w:rsid w:val="00EE474F"/>
    <w:rsid w:val="00EE5BED"/>
    <w:rsid w:val="00F01A74"/>
    <w:rsid w:val="00F71805"/>
    <w:rsid w:val="00F81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3C168"/>
  <w14:defaultImageDpi w14:val="300"/>
  <w15:docId w15:val="{2976656B-5D66-48D9-969F-0E46B718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qFormat/>
    <w:rsid w:val="00B71C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207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767"/>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8207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93883-F1E4-49E4-B7A1-FE8AC559C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54</cp:revision>
  <dcterms:created xsi:type="dcterms:W3CDTF">2013-12-23T23:15:00Z</dcterms:created>
  <dcterms:modified xsi:type="dcterms:W3CDTF">2026-09-14T03:40:00Z</dcterms:modified>
  <cp:category/>
</cp:coreProperties>
</file>