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300"/>
        <w:jc w:val="center"/>
      </w:pPr>
      <w:r>
        <w:rPr>
          <w:rFonts w:ascii="Times New Roman" w:cs="Times New Roman" w:eastAsia="Times New Roman" w:hAnsi="Times New Roman"/>
          <w:b/>
          <w:bCs/>
          <w:i w:val="false"/>
          <w:iCs w:val="false"/>
          <w:caps w:val="false"/>
          <w:sz w:val="26"/>
          <w:szCs w:val="26"/>
        </w:rPr>
        <w:t xml:space="preserve">CÔNG TY TNHH MỘT THÀNH VIÊN</w:t>
      </w:r>
    </w:p>
    <w:p>
      <w:pPr>
        <w:keepNext w:val="false"/>
        <w:spacing w:after="0" w:before="0" w:line="300"/>
        <w:jc w:val="center"/>
      </w:pPr>
      <w:r>
        <w:rPr>
          <w:rFonts w:ascii="Times New Roman" w:cs="Times New Roman" w:eastAsia="Times New Roman" w:hAnsi="Times New Roman"/>
          <w:b/>
          <w:bCs/>
          <w:i w:val="false"/>
          <w:iCs w:val="false"/>
          <w:caps w:val="false"/>
          <w:sz w:val="26"/>
          <w:szCs w:val="26"/>
        </w:rPr>
        <w:t xml:space="preserve">CHẾ BIẾN NÔNG SẢN THỰC PHẨM HIẾU HƯNG</w:t>
      </w:r>
    </w:p>
    <w:p>
      <w:pPr>
        <w:keepNext w:val="false"/>
        <w:spacing w:after="200" w:before="0" w:line="300"/>
        <w:jc w:val="center"/>
      </w:pPr>
      <w:r>
        <w:rPr>
          <w:rFonts w:ascii="Times New Roman" w:cs="Times New Roman" w:eastAsia="Times New Roman" w:hAnsi="Times New Roman"/>
          <w:b w:val="false"/>
          <w:bCs w:val="false"/>
          <w:i w:val="false"/>
          <w:iCs w:val="false"/>
          <w:caps w:val="false"/>
          <w:sz w:val="26"/>
          <w:szCs w:val="26"/>
        </w:rPr>
        <w:t xml:space="preserve">-------------------</w:t>
      </w:r>
    </w:p>
    <w:p>
      <w:pPr>
        <w:keepNext w:val="false"/>
        <w:spacing w:after="0" w:before="0" w:line="300"/>
        <w:jc w:val="center"/>
      </w:pPr>
      <w:r>
        <w:rPr>
          <w:rFonts w:ascii="Times New Roman" w:cs="Times New Roman" w:eastAsia="Times New Roman" w:hAnsi="Times New Roman"/>
          <w:b/>
          <w:bCs/>
          <w:i w:val="false"/>
          <w:iCs w:val="false"/>
          <w:caps w:val="false"/>
          <w:sz w:val="32"/>
          <w:szCs w:val="32"/>
        </w:rPr>
        <w:t xml:space="preserve">THÀNH PHẦN HỒ SƠ</w:t>
      </w:r>
    </w:p>
    <w:p>
      <w:pPr>
        <w:keepNext w:val="false"/>
        <w:spacing w:after="0" w:before="0" w:line="300"/>
        <w:jc w:val="center"/>
      </w:pPr>
      <w:r>
        <w:rPr>
          <w:rFonts w:ascii="Times New Roman" w:cs="Times New Roman" w:eastAsia="Times New Roman" w:hAnsi="Times New Roman"/>
          <w:b/>
          <w:bCs/>
          <w:i w:val="false"/>
          <w:iCs w:val="false"/>
          <w:caps w:val="false"/>
          <w:sz w:val="28"/>
          <w:szCs w:val="28"/>
        </w:rPr>
        <w:t xml:space="preserve">ĐỀ NGHỊ CẤP LẠI GIẤY CHỨNG NHẬN CƠ SỞ ĐỦ ĐIỀU KIỆN AN TOÀN THỰC PHẨM</w:t>
      </w:r>
    </w:p>
    <w:p>
      <w:pPr>
        <w:keepNext w:val="false"/>
        <w:spacing w:after="240" w:before="0" w:line="300"/>
        <w:jc w:val="center"/>
      </w:pPr>
      <w:r>
        <w:rPr>
          <w:rFonts w:ascii="Times New Roman" w:cs="Times New Roman" w:eastAsia="Times New Roman" w:hAnsi="Times New Roman"/>
          <w:b w:val="false"/>
          <w:bCs w:val="false"/>
          <w:i/>
          <w:iCs/>
          <w:caps w:val="false"/>
          <w:sz w:val="26"/>
          <w:szCs w:val="26"/>
        </w:rPr>
        <w:t xml:space="preserve">(Trường hợp Giấy chứng nhận hết hiệu lực)</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Cơ sở: Công ty TNHH một thành viên Chế biến nông sản thực phẩm Hiếu Hưng</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Địa điểm sản xuất: Thôn Tân Sơn, xã Bảo Hà, tỉnh Lào Cai</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Loại hình sản xuất: Sản xuất tinh bột sắn</w:t>
      </w:r>
    </w:p>
    <w:p>
      <w:pPr>
        <w:keepNext w:val="false"/>
        <w:spacing w:after="200" w:before="0" w:line="300"/>
        <w:jc w:val="both"/>
      </w:pPr>
      <w:r>
        <w:rPr>
          <w:rFonts w:ascii="Times New Roman" w:cs="Times New Roman" w:eastAsia="Times New Roman" w:hAnsi="Times New Roman"/>
          <w:b w:val="false"/>
          <w:bCs w:val="false"/>
          <w:i w:val="false"/>
          <w:iCs w:val="false"/>
          <w:caps w:val="false"/>
          <w:sz w:val="28"/>
          <w:szCs w:val="28"/>
        </w:rPr>
        <w:t xml:space="preserve">Cơ quan tiếp nhận: Sở Công Thương tỉnh Lào Cai</w:t>
      </w:r>
    </w:p>
    <w:p>
      <w:pPr>
        <w:keepNext/>
        <w:spacing w:after="120" w:before="120" w:line="300"/>
        <w:jc w:val="left"/>
      </w:pPr>
      <w:r>
        <w:rPr>
          <w:rFonts w:ascii="Times New Roman" w:cs="Times New Roman" w:eastAsia="Times New Roman" w:hAnsi="Times New Roman"/>
          <w:b/>
          <w:bCs/>
          <w:i w:val="false"/>
          <w:iCs w:val="false"/>
          <w:caps w:val="false"/>
          <w:sz w:val="28"/>
          <w:szCs w:val="28"/>
        </w:rPr>
        <w:t xml:space="preserve">I. HỒ SƠ THEO QUY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200"/>
        <w:gridCol w:w="2571"/>
      </w:tblGrid>
      <w:tr>
        <w:trPr>
          <w:tblHeader/>
        </w:trPr>
        <w:tc>
          <w:tcPr>
            <w:tcW w:type="dxa" w:w="7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TT</w:t>
            </w:r>
          </w:p>
        </w:tc>
        <w:tc>
          <w:tcPr>
            <w:tcW w:type="dxa" w:w="46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Thành phần hồ sơ</w:t>
            </w:r>
          </w:p>
        </w:tc>
        <w:tc>
          <w:tcPr>
            <w:tcW w:type="dxa" w:w="12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Số lượng</w:t>
            </w:r>
          </w:p>
        </w:tc>
        <w:tc>
          <w:tcPr>
            <w:tcW w:type="dxa" w:w="2571"/>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Ghi chú</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w:t>
            </w:r>
          </w:p>
        </w:tc>
        <w:tc>
          <w:tcPr>
            <w:tcW w:type="dxa" w:w="46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Đơn đề nghị cấp lại Giấy chứng nhận cơ sở đủ điều kiện an toàn thực phẩm (Mẫu số 01b Mục I Phụ lục ban hành kèm theo Nghị định số 17/2020/NĐ-CP)</w:t>
            </w:r>
          </w:p>
        </w:tc>
        <w:tc>
          <w:tcPr>
            <w:tcW w:type="dxa" w:w="12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01 bản chính</w:t>
            </w:r>
          </w:p>
        </w:tc>
        <w:tc>
          <w:tcPr>
            <w:tcW w:type="dxa" w:w="25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Chủ cơ sở ký, đóng dấu</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2</w:t>
            </w:r>
          </w:p>
        </w:tc>
        <w:tc>
          <w:tcPr>
            <w:tcW w:type="dxa" w:w="46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Bản thuyết minh về cơ sở vật chất, trang thiết bị, dụng cụ bảo đảm điều kiện vệ sinh an toàn thực phẩm (Mẫu số 02a - đối với cơ sở sản xuất)</w:t>
            </w:r>
          </w:p>
        </w:tc>
        <w:tc>
          <w:tcPr>
            <w:tcW w:type="dxa" w:w="12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01 bản chính</w:t>
            </w:r>
          </w:p>
        </w:tc>
        <w:tc>
          <w:tcPr>
            <w:tcW w:type="dxa" w:w="25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Kèm sơ đồ bố trí mặt bằng khu vực sản xuất</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3</w:t>
            </w:r>
          </w:p>
        </w:tc>
        <w:tc>
          <w:tcPr>
            <w:tcW w:type="dxa" w:w="46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Danh sách tổng hợp đủ sức khỏe do chủ cơ sở xác nhận (hoặc giấy xác nhận đủ sức khỏe của chủ cơ sở và người trực tiếp sản xuất do cơ sở khám bệnh, chữa bệnh có đủ điều kiện cấp)</w:t>
            </w:r>
          </w:p>
        </w:tc>
        <w:tc>
          <w:tcPr>
            <w:tcW w:type="dxa" w:w="12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01 bản</w:t>
            </w:r>
          </w:p>
        </w:tc>
        <w:tc>
          <w:tcPr>
            <w:tcW w:type="dxa" w:w="25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Kèm bản sao giấy khám sức khỏe của từng người</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4</w:t>
            </w:r>
          </w:p>
        </w:tc>
        <w:tc>
          <w:tcPr>
            <w:tcW w:type="dxa" w:w="46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Giấy xác nhận đã được tập huấn kiến thức về an toàn thực phẩm của người trực tiếp sản xuất, có xác nhận của chủ cơ sở (kèm danh sách)</w:t>
            </w:r>
          </w:p>
        </w:tc>
        <w:tc>
          <w:tcPr>
            <w:tcW w:type="dxa" w:w="12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01 bản chính</w:t>
            </w:r>
          </w:p>
        </w:tc>
        <w:tc>
          <w:tcPr>
            <w:tcW w:type="dxa" w:w="25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Chủ cơ sở tự tổ chức tập huấn và xác nhận</w:t>
            </w:r>
          </w:p>
        </w:tc>
      </w:tr>
    </w:tbl>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120" w:before="0" w:line="300"/>
        <w:jc w:val="both"/>
      </w:pPr>
      <w:r>
        <w:rPr>
          <w:rFonts w:ascii="Times New Roman" w:cs="Times New Roman" w:eastAsia="Times New Roman" w:hAnsi="Times New Roman"/>
          <w:b w:val="false"/>
          <w:bCs w:val="false"/>
          <w:i/>
          <w:iCs/>
          <w:caps w:val="false"/>
          <w:sz w:val="26"/>
          <w:szCs w:val="26"/>
        </w:rPr>
        <w:t xml:space="preserve">Căn cứ: khoản 2 Điều 24a Nghị định số 77/2016/NĐ-CP (được sửa đổi, bổ sung bởi Nghị định số 17/2020/NĐ-CP), được cắt giảm, đơn giản hóa tại Phần I Mục B Phụ lục I.2 Nghị quyết số 66.16/2026/NQ-CP (áp dụng từ ngày 15/4/2026).</w:t>
      </w:r>
    </w:p>
    <w:p>
      <w:pPr>
        <w:keepNext w:val="false"/>
        <w:spacing w:after="200" w:before="0" w:line="300"/>
        <w:jc w:val="both"/>
      </w:pPr>
      <w:r>
        <w:rPr>
          <w:rFonts w:ascii="Times New Roman" w:cs="Times New Roman" w:eastAsia="Times New Roman" w:hAnsi="Times New Roman"/>
          <w:b w:val="false"/>
          <w:bCs w:val="false"/>
          <w:i/>
          <w:iCs/>
          <w:caps w:val="false"/>
          <w:sz w:val="26"/>
          <w:szCs w:val="26"/>
        </w:rPr>
        <w:t xml:space="preserve">Lưu ý: Từ ngày 15/4/2026, hồ sơ KHÔNG còn yêu cầu nộp bản sao Giấy chứng nhận đăng ký kinh doanh/đăng ký doanh nghiệp/Giấy chứng nhận đầu tư.</w:t>
      </w:r>
    </w:p>
    <w:p>
      <w:pPr>
        <w:keepNext/>
        <w:spacing w:after="120" w:before="120" w:line="300"/>
        <w:jc w:val="left"/>
      </w:pPr>
      <w:r>
        <w:rPr>
          <w:rFonts w:ascii="Times New Roman" w:cs="Times New Roman" w:eastAsia="Times New Roman" w:hAnsi="Times New Roman"/>
          <w:b/>
          <w:bCs/>
          <w:i w:val="false"/>
          <w:iCs w:val="false"/>
          <w:caps w:val="false"/>
          <w:sz w:val="28"/>
          <w:szCs w:val="28"/>
        </w:rPr>
        <w:t xml:space="preserve">II. TÀI LIỆU GỬI KÈM ĐỂ THUẬN LỢI CHO CÔNG TÁC THẨM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271"/>
      </w:tblGrid>
      <w:tr>
        <w:trPr>
          <w:tblHeader/>
        </w:trPr>
        <w:tc>
          <w:tcPr>
            <w:tcW w:type="dxa" w:w="7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TT</w:t>
            </w:r>
          </w:p>
        </w:tc>
        <w:tc>
          <w:tcPr>
            <w:tcW w:type="dxa" w:w="51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Tài liệu gửi kèm (không bắt buộc)</w:t>
            </w:r>
          </w:p>
        </w:tc>
        <w:tc>
          <w:tcPr>
            <w:tcW w:type="dxa" w:w="3271"/>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Mục đích</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w:t>
            </w:r>
          </w:p>
        </w:tc>
        <w:tc>
          <w:tcPr>
            <w:tcW w:type="dxa" w:w="51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Bản sao Giấy chứng nhận đăng ký doanh nghiệp (đăng ký thay đổi lần thứ 12 ngày 10/9/2025)</w:t>
            </w:r>
          </w:p>
        </w:tc>
        <w:tc>
          <w:tcPr>
            <w:tcW w:type="dxa" w:w="32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Đối chiếu tên, địa chỉ theo địa danh hành chính mới (xã Bảo Hà, tỉnh Lào Cai)</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2</w:t>
            </w:r>
          </w:p>
        </w:tc>
        <w:tc>
          <w:tcPr>
            <w:tcW w:type="dxa" w:w="51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Bản sao Giấy chứng nhận cơ sở đủ điều kiện an toàn thực phẩm số 31/GCNATTP-SCT ngày 23/10/2023</w:t>
            </w:r>
          </w:p>
        </w:tc>
        <w:tc>
          <w:tcPr>
            <w:tcW w:type="dxa" w:w="32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Đối chiếu hồ sơ lưu tại Sở</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3</w:t>
            </w:r>
          </w:p>
        </w:tc>
        <w:tc>
          <w:tcPr>
            <w:tcW w:type="dxa" w:w="51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Bản sao kết quả xét nghiệm nước dùng trong sản xuất còn hiệu lực</w:t>
            </w:r>
          </w:p>
        </w:tc>
        <w:tc>
          <w:tcPr>
            <w:tcW w:type="dxa" w:w="32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Chứng minh điều kiện về nguồn nước</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4</w:t>
            </w:r>
          </w:p>
        </w:tc>
        <w:tc>
          <w:tcPr>
            <w:tcW w:type="dxa" w:w="51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Bản sao Giấy phép môi trường (hoặc hồ sơ môi trường tương đương) còn hiệu lực</w:t>
            </w:r>
          </w:p>
        </w:tc>
        <w:tc>
          <w:tcPr>
            <w:tcW w:type="dxa" w:w="32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Phục vụ thẩm định thực tế về xử lý chất thải</w:t>
            </w:r>
          </w:p>
        </w:tc>
      </w:tr>
      <w:tr>
        <w:tc>
          <w:tcPr>
            <w:tcW w:type="dxa" w:w="7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5</w:t>
            </w:r>
          </w:p>
        </w:tc>
        <w:tc>
          <w:tcPr>
            <w:tcW w:type="dxa" w:w="5100"/>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Quy trình sản xuất tinh bột sắn (sơ đồ khối) và bản mô tả hệ thống kiểm soát chất lượng</w:t>
            </w:r>
          </w:p>
        </w:tc>
        <w:tc>
          <w:tcPr>
            <w:tcW w:type="dxa" w:w="3271"/>
            <w:tcMar>
              <w:top w:type="dxa" w:w="40"/>
              <w:left w:type="dxa" w:w="80"/>
              <w:bottom w:type="dxa" w:w="40"/>
              <w:right w:type="dxa" w:w="80"/>
            </w:tcMar>
            <w:vAlign w:val="center"/>
          </w:tcPr>
          <w:p>
            <w:pPr>
              <w:spacing w:after="20" w:before="20" w:line="264"/>
              <w:jc w:val="both"/>
            </w:pPr>
            <w:r>
              <w:rPr>
                <w:rFonts w:ascii="Times New Roman" w:cs="Times New Roman" w:eastAsia="Times New Roman" w:hAnsi="Times New Roman"/>
                <w:b w:val="false"/>
                <w:bCs w:val="false"/>
                <w:i w:val="false"/>
                <w:iCs w:val="false"/>
                <w:sz w:val="26"/>
                <w:szCs w:val="26"/>
              </w:rPr>
              <w:t xml:space="preserve">Phục vụ thẩm định thực tế</w:t>
            </w:r>
          </w:p>
        </w:tc>
      </w:tr>
    </w:tbl>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120" w:before="120" w:line="300"/>
        <w:jc w:val="left"/>
      </w:pPr>
      <w:r>
        <w:rPr>
          <w:rFonts w:ascii="Times New Roman" w:cs="Times New Roman" w:eastAsia="Times New Roman" w:hAnsi="Times New Roman"/>
          <w:b/>
          <w:bCs/>
          <w:i w:val="false"/>
          <w:iCs w:val="false"/>
          <w:caps w:val="false"/>
          <w:sz w:val="28"/>
          <w:szCs w:val="28"/>
        </w:rPr>
        <w:t xml:space="preserve">III. NƠI NỘP HỒ SƠ</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Nộp trực tuyến tại: https://motcua-tthc.moit.gov.vn/</w:t>
      </w:r>
    </w:p>
    <w:p>
      <w:pPr>
        <w:keepNext w:val="false"/>
        <w:spacing w:after="200" w:before="0" w:line="300"/>
        <w:jc w:val="both"/>
      </w:pPr>
      <w:r>
        <w:rPr>
          <w:rFonts w:ascii="Times New Roman" w:cs="Times New Roman" w:eastAsia="Times New Roman" w:hAnsi="Times New Roman"/>
          <w:b w:val="false"/>
          <w:bCs w:val="false"/>
          <w:i w:val="false"/>
          <w:iCs w:val="false"/>
          <w:caps w:val="false"/>
          <w:sz w:val="28"/>
          <w:szCs w:val="28"/>
        </w:rPr>
        <w:t xml:space="preserve">- Hoặc nộp trực tiếp/qua dịch vụ bưu chính đến Sở Công Thương tỉnh Lào Cai, số 165 Lý Thường Kiệt, phường Yên Bái, tỉnh Lào Cai; điện thoại: 02163.857.863.</w:t>
      </w:r>
    </w:p>
    <w:p>
      <w:pPr>
        <w:keepNext w:val="false"/>
        <w:spacing w:after="0" w:before="0" w:line="300"/>
        <w:jc w:val="both"/>
      </w:pPr>
      <w:r>
        <w:rPr>
          <w:rFonts w:ascii="Times New Roman" w:cs="Times New Roman" w:eastAsia="Times New Roman" w:hAnsi="Times New Roman"/>
          <w:b w:val="false"/>
          <w:bCs w:val="false"/>
          <w:i/>
          <w:iCs/>
          <w:caps w:val="false"/>
          <w:sz w:val="26"/>
          <w:szCs w:val="26"/>
        </w:rPr>
        <w:t xml:space="preserve">Cơ sở nộp phí thẩm định theo quy định của pháp luật về phí, lệ phí.</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2026-08-20T03:44:39.247Z</dcterms:created>
  <dcterms:modified xsi:type="dcterms:W3CDTF">2026-08-20T03:44:39.258Z</dcterms:modified>
</cp:coreProperties>
</file>

<file path=docProps/custom.xml><?xml version="1.0" encoding="utf-8"?>
<Properties xmlns="http://schemas.openxmlformats.org/officeDocument/2006/custom-properties" xmlns:vt="http://schemas.openxmlformats.org/officeDocument/2006/docPropsVTypes"/>
</file>