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cs="Times New Roman"/>
                <w:spacing w:val="-6"/>
                <w:sz w:val="26"/>
                <w:szCs w:val="28"/>
                <w:lang w:val="vi-VN"/>
              </w:rPr>
            </w:pPr>
            <w:r>
              <w:rPr>
                <w:rFonts w:ascii="Times New Roman" w:hAnsi="Times New Roman" w:cs="Times New Roman"/>
                <w:spacing w:val="-6"/>
                <w:sz w:val="26"/>
                <w:szCs w:val="28"/>
                <w:lang w:val="vi-VN"/>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48F6912D" w14:textId="77777777" w:rsidR="009E081E" w:rsidRPr="00A1446C" w:rsidRDefault="009E081E" w:rsidP="006B58B7">
            <w:pPr>
              <w:spacing w:after="0" w:line="240" w:lineRule="auto"/>
              <w:jc w:val="center"/>
              <w:rPr>
                <w:rFonts w:ascii="Times New Roman" w:hAnsi="Times New Roman" w:cs="Times New Roman"/>
                <w:b/>
                <w:sz w:val="26"/>
                <w:szCs w:val="28"/>
                <w:lang w:val="vi-VN"/>
              </w:rPr>
            </w:pPr>
            <w:r>
              <w:rPr>
                <w:rFonts w:ascii="Times New Roman" w:hAnsi="Times New Roman" w:cs="Times New Roman"/>
                <w:b/>
                <w:sz w:val="26"/>
                <w:szCs w:val="28"/>
                <w:lang w:val="vi-VN"/>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jc w:val="center"/>
              <w:rPr>
                <w:rFonts w:ascii="Times New Roman" w:hAnsi="Times New Roman" w:cs="Times New Roman"/>
                <w:b/>
                <w:spacing w:val="-6"/>
                <w:sz w:val="28"/>
                <w:szCs w:val="28"/>
                <w:lang w:val="vi-VN"/>
              </w:rPr>
            </w:pPr>
            <w:r>
              <w:rPr>
                <w:rFonts w:ascii="Times New Roman" w:hAnsi="Times New Roman" w:cs="Times New Roman"/>
                <w:b/>
                <w:spacing w:val="-6"/>
                <w:sz w:val="26"/>
                <w:szCs w:val="28"/>
                <w:lang w:val="vi-VN"/>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cs="Times New Roman"/>
                <w:b/>
                <w:noProof/>
                <w:sz w:val="28"/>
                <w:szCs w:val="28"/>
                <w:lang w:val="vi-VN"/>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vi-VN"/>
              </w:rPr>
              <w:t>Số:               /</w:t>
            </w:r>
            <w:r>
              <w:rPr>
                <w:rFonts w:ascii="Times New Roman" w:hAnsi="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1FAABE9A" w14:textId="77777777" w:rsidR="009E081E" w:rsidRPr="004714EA" w:rsidRDefault="009E081E" w:rsidP="006B58B7">
            <w:pPr>
              <w:spacing w:before="200" w:after="180"/>
              <w:jc w:val="center"/>
              <w:rPr>
                <w:rFonts w:ascii="Times New Roman" w:hAnsi="Times New Roman" w:cs="Times New Roman"/>
                <w:sz w:val="28"/>
                <w:szCs w:val="28"/>
                <w:lang w:val="vi-VN"/>
              </w:rPr>
            </w:pPr>
            <w:r w:rsidRPr="004714EA">
              <w:rPr>
                <w:rFonts w:ascii="Times New Roman" w:hAnsi="Times New Roman" w:cs="Times New Roman"/>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36E20B" id="Line 7" o:spid="_x0000_s102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sidRPr="004714EA">
              <w:rPr>
                <w:rFonts w:ascii="Times New Roman" w:hAnsi="Times New Roman" w:cs="Times New Roman"/>
                <w:i/>
                <w:noProof/>
                <w:sz w:val="26"/>
                <w:szCs w:val="28"/>
              </w:rPr>
              <w:t xml:space="preserve">      Lào Cai, ngày        tháng      n</w:t>
            </w:r>
            <w:bookmarkStart w:id="0" w:name="_GoBack"/>
            <w:bookmarkEnd w:id="0"/>
            <w:r w:rsidRPr="004714EA">
              <w:rPr>
                <w:rFonts w:ascii="Times New Roman" w:hAnsi="Times New Roman" w:cs="Times New Roman"/>
                <w:i/>
                <w:noProof/>
                <w:sz w:val="26"/>
                <w:szCs w:val="28"/>
              </w:rPr>
              <w:t>ăm 2026</w:t>
            </w:r>
          </w:p>
        </w:tc>
      </w:tr>
    </w:tbl>
    <w:p w14:paraId="74D5F013" w14:textId="77777777"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14:paraId="4E680283"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Khó khăn, vướng mắc trong thành lập cụm công nghiệp</w:t>
      </w:r>
    </w:p>
    <w:p w14:paraId="07352DF1"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và đề xuất, kiến nghị</w:t>
      </w:r>
    </w:p>
    <w:p w14:paraId="1E301B91" w14:textId="77777777"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0C6650" id="Line 8" o:spid="_x0000_s1028"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p w14:paraId="354EF4D6" w14:textId="4DC59276" w:rsidR="003520B1" w:rsidRDefault="003520B1" w:rsidP="003520B1">
      <w:pPr>
        <w:spacing w:before="120" w:after="0" w:line="360" w:lineRule="exact"/>
        <w:ind w:firstLine="567"/>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Kính gửi: </w:t>
      </w:r>
      <w:r>
        <w:rPr>
          <w:rFonts w:ascii="Times New Roman" w:hAnsi="Times New Roman" w:cs="Times New Roman"/>
          <w:sz w:val="28"/>
          <w:szCs w:val="28"/>
        </w:rPr>
        <w:t>Bộ Công Thương</w:t>
      </w:r>
    </w:p>
    <w:p w14:paraId="32D91907" w14:textId="77777777" w:rsidR="003520B1" w:rsidRDefault="003520B1" w:rsidP="00C843B8">
      <w:pPr>
        <w:spacing w:before="120" w:after="0" w:line="360" w:lineRule="exact"/>
        <w:ind w:firstLine="567"/>
        <w:jc w:val="both"/>
        <w:rPr>
          <w:rFonts w:ascii="Times New Roman" w:eastAsia="Times New Roman" w:hAnsi="Times New Roman" w:cs="Times New Roman"/>
          <w:color w:val="000000"/>
          <w:sz w:val="28"/>
          <w:szCs w:val="28"/>
        </w:rPr>
      </w:pPr>
    </w:p>
    <w:p w14:paraId="5C1C22E1" w14:textId="6D5361BA"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Qua thực tiễn thẩm định thành lập, mở rộng cụm công nghiệp (viết tắt là CCN) theo Nghị định số 32/2024/NĐ-CP ngày 15/3/2024 của Chính phủ về quản lý, phát triển CCN, Sở Công Thương tỉnh Lào Cai báo cáo Bộ Công Thương một số khó khăn, vướng mắc và đề xuất, kiến nghị, như sau:</w:t>
      </w:r>
    </w:p>
    <w:p w14:paraId="2BD49316"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 KHÓ KHĂN, VƯỚNG MẮC</w:t>
      </w:r>
    </w:p>
    <w:p w14:paraId="151B872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Điều kiện tỷ lệ lấp đầy khi thành lập CCN mới chặt hơn khu công nghiệp, không có trường hợp loại trừ</w:t>
      </w:r>
    </w:p>
    <w:p w14:paraId="131FA5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Điểm c khoản 1 Điều 8 Nghị định số 32/2024/NĐ-CP quy định: trường hợp địa bàn cấp huyện đã thành lập CCN thì tỷ lệ lấp đầy trung bình của các CCN đạt trên 50% hoặc tổng quỹ đất công nghiệp chưa cho thuê không vượt quá 100 ha. Quy định này không có bất kỳ trường hợp loại trừ nào. Trong khi đó, đối với khu công nghiệp (viết tắt là KCN) có quy mô lớn hơn nhiều lần, khoản 6 Điều 9 Nghị định số 35/2022/NĐ-CP ngày 28/5/2022 của Chính phủ đã quy định 05 trường hợp không phải áp dụng điều kiện tỷ lệ lấp đầy bình quân 60%, trong đó có: tổng diện tích các KCN đã thành lập từ 1.000 ha trở xuống; KCN tại địa bàn ưu đãi đầu tư. Như vậy, đối tượng quy mô nhỏ (CCN tối đa 75 ha, phục vụ doanh nghiệp nhỏ và vừa, hợp tác xã và di dời cơ sở gây ô nhiễm ra khỏi khu dân cư) lại chịu điều kiện chặt hơn đối tượng quy mô lớn - chưa hợp lý và chưa khuyến khích phát triển công nghiệp tại địa bàn miền núi, biên giới.</w:t>
      </w:r>
    </w:p>
    <w:p w14:paraId="402189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quả thực tế tại tỉnh Lào Cai: một số CCN đã thành lập chậm tiến độ do vướng giải phóng mặt bằng, thiếu vốn đầu tư hạ tầng, kéo tỷ lệ lấp đầy trung bình xuống thấp; các khu vực khác đang có nhà đầu tư đăng ký và nhu cầu mặt bằng thực tế nhưng không đủ điều kiện thành lập CCN mới, làm mất cơ hội thu hút đầu tư.</w:t>
      </w:r>
    </w:p>
    <w:p w14:paraId="61A96FD4"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Ngoài ra, từ ngày 01/7/2025 không còn đơn vị hành chính cấp huyện, phạm vi tính tỷ lệ lấp đầy "trên địa bàn cấp huyện" không còn cơ sở thực tế. Điều 12 Nghị định số 139/2025/NĐ-CP ngày 12/6/2025 của Chính phủ giao UBND cấp </w:t>
      </w:r>
      <w:r>
        <w:rPr>
          <w:rFonts w:ascii="Times New Roman" w:eastAsia="Times New Roman" w:hAnsi="Times New Roman" w:cs="Times New Roman"/>
          <w:color w:val="000000"/>
          <w:sz w:val="28"/>
          <w:szCs w:val="28"/>
        </w:rPr>
        <w:lastRenderedPageBreak/>
        <w:t>tỉnh quyết định thực hiện nội dung này, nhưng chưa có nguyên tắc thống nhất, mỗi địa phương có thể tính theo phạm vi khác nhau (cấp xã, liên xã hoặc toàn tỉnh), tiềm ẩn rủi ro khi thanh tra, kiểm toán.</w:t>
      </w:r>
    </w:p>
    <w:p w14:paraId="3C33F467"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Thủ tục Hội đồng đánh giá lựa chọn chủ đầu tư làm tăng bước giải quyết thủ tục hành chính</w:t>
      </w:r>
    </w:p>
    <w:p w14:paraId="3033EBD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Khoản 2 Điều 13 Nghị định số 32/2024/NĐ-CP quy định mọi trường hợp đều phải thành lập Hội đồng do lãnh đạo UBND cấp tỉnh làm Chủ tịch để chấm điểm lựa chọn chủ đầu tư, kể cả khi chỉ có 01 doanh nghiệp đăng ký - là tình huống phổ biến nhất tại các tỉnh miền núi. Việc chấm điểm khi không có cạnh tranh mang tính hình thức, không làm thay đổi kết quả, nhưng làm phát sinh thêm một chuỗi công việc: trình thành lập Hội đồng, xây dựng quy chế và tiêu chí, tổ chức họp, tổng hợp kết quả - tất cả phải hoàn thành trong 25 ngày thẩm định theo khoản 3 Điều 10, rất khó bảo đảm do phụ thuộc lịch làm việc của lãnh đạo UBND tỉnh và các thành viên.</w:t>
      </w:r>
    </w:p>
    <w:p w14:paraId="52EB311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Nội dung chấm điểm (năng lực, kinh nghiệm, phương án tài chính, phương án bảo vệ môi trường) về cơ bản trùng với nội dung thẩm định hồ sơ thành lập CCN tại Điều 11 và nội dung thẩm định chấp thuận chủ trương đầu tư theo pháp luật về đầu tư - một hồ sơ được cùng các cơ quan đánh giá nhiều lần. Trong khi đó, dự án hạ tầng KCN có quy mô và vốn đầu tư lớn hơn nhiều lần chỉ lựa chọn nhà đầu tư theo pháp luật về đầu tư, đấu thầu, không phải qua Hội đồng chấm điểm. Thủ tục đối với dự án nhỏ nhiều bước hơn dự án lớn là chưa phù hợp với chủ trương cắt giảm, đơn giản hóa thủ tục hành chính.</w:t>
      </w:r>
    </w:p>
    <w:p w14:paraId="23C7B3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Bên cạnh đó, thành phần Hội đồng còn dẫn chiếu lãnh đạo Sở Kế hoạch và Đầu tư - cơ quan không còn sau sắp xếp tổ chức bộ máy, gây lúng túng về căn cứ pháp lý khi ban hành quyết định thành lập Hội đồng.</w:t>
      </w:r>
    </w:p>
    <w:p w14:paraId="3F487A09"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II. ĐỀ XUẤT, KIẾN NGHỊ</w:t>
      </w:r>
    </w:p>
    <w:p w14:paraId="5A7E939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Công Thương tỉnh Lào Cai kính đề nghị Bộ Công Thương tổng hợp, báo cáo Chính phủ sửa đổi, bổ sung Nghị định số 32/2024/NĐ-CP theo hướng:</w:t>
      </w:r>
    </w:p>
    <w:p w14:paraId="44F01BE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Bổ sung các trường hợp không phải áp dụng điều kiện tỷ lệ lấp đầy tại điểm c khoản 1 Điều 8, tương tự cơ chế tại khoản 6 Điều 9 Nghị định số 35/2022/NĐ-CP, gồm: CCN tại địa bàn có điều kiện kinh tế - xã hội khó khăn, đặc biệt khó khăn; CCN hình thành để di dời cơ sở sản xuất gây ô nhiễm ra khỏi khu dân cư, làng nghề theo kế hoạch của UBND cấp tỉnh; CCN đã có nhà đầu tư thứ cấp cam kết thuê đất. Đồng thời quy định phạm vi tính tỷ lệ lấp đầy phù hợp mô hình chính quyền địa phương 02 cấp (theo cấp xã hoặc khu vực do UBND cấp tỉnh xác định).</w:t>
      </w:r>
    </w:p>
    <w:p w14:paraId="4A6A90C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Chỉ thành lập Hội đồng đánh giá lựa chọn chủ đầu tư khi có từ 02 doanh nghiệp, hợp tác xã, tổ chức trở lên cùng đăng ký; trường hợp chỉ có 01 hồ sơ, giao Sở Công Thương đánh giá theo bộ tiêu chí và tổng hợp trong báo cáo thẩm định, trình UBND cấp tỉnh quyết định giao chủ đầu tư tại Quyết định thành lập, mở rộng CCN. Cập nhật thành phần Hội đồng phù hợp cơ cấu tổ chức các cơ quan chuyên môn sau sắp xếp.</w:t>
      </w:r>
    </w:p>
    <w:p w14:paraId="75402C4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Trong thời gian chưa sửa đổi Nghị định, đề nghị Bộ Công Thương ban hành văn bản hướng dẫn thống nhất về nguyên tắc xác định phạm vi tính tỷ lệ lấp đầy để các địa phương áp dụng theo Điều 12 Nghị định số 139/2025/NĐ-CP, bảo đảm an toàn pháp lý.</w:t>
      </w:r>
    </w:p>
    <w:p w14:paraId="39EF9C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Trên đây là báo cáo của Sở Công Thương tỉnh Lào Cai, kính đề nghị Bộ Công Thương xem xét, tổng hợp./.</w:t>
      </w:r>
    </w:p>
    <w:p w14:paraId="5C7A47B0" w14:textId="77777777" w:rsidR="00C843B8" w:rsidRPr="00C843B8" w:rsidRDefault="00C843B8" w:rsidP="00C843B8">
      <w:pPr>
        <w:spacing w:before="120" w:after="0" w:line="360" w:lineRule="exact"/>
        <w:ind w:firstLine="567"/>
        <w:jc w:val="both"/>
        <w:rPr>
          <w:rFonts w:ascii="Times New Roman" w:eastAsia="Times New Roman" w:hAnsi="Times New Roman" w:cs="Times New Roman"/>
          <w:color w:val="000000"/>
          <w:sz w:val="28"/>
          <w:szCs w:val="28"/>
        </w:rPr>
      </w:pPr>
    </w:p>
    <w:tbl>
      <w:tblPr>
        <w:tblW w:w="8927" w:type="dxa"/>
        <w:tblLook w:val="0000" w:firstRow="0" w:lastRow="0" w:firstColumn="0" w:lastColumn="0" w:noHBand="0" w:noVBand="0"/>
      </w:tblPr>
      <w:tblGrid>
        <w:gridCol w:w="3261"/>
        <w:gridCol w:w="2404"/>
        <w:gridCol w:w="3262"/>
      </w:tblGrid>
      <w:tr w:rsidR="0091299F" w:rsidRPr="00A1446C" w14:paraId="52C58802" w14:textId="77777777" w:rsidTr="003520B1">
        <w:tc>
          <w:tcPr>
            <w:tcW w:w="3261" w:type="dxa"/>
          </w:tcPr>
          <w:p w14:paraId="5A1D0F57"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14:paraId="33658AB4" w14:textId="77343379" w:rsidR="0091299F"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UBND tỉnh (b/c);</w:t>
            </w:r>
          </w:p>
          <w:p w14:paraId="28A7A318" w14:textId="4A213B03" w:rsidR="003520B1" w:rsidRPr="00C843B8" w:rsidRDefault="003520B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Cục Đổi mới sáng tạo, Chuyển đổi xanh và Khuyến công;</w:t>
            </w:r>
          </w:p>
          <w:p w14:paraId="5986F813" w14:textId="35F9633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xml:space="preserve">- </w:t>
            </w:r>
            <w:r w:rsidR="003520B1">
              <w:rPr>
                <w:rFonts w:ascii="Times New Roman" w:eastAsia="Times New Roman" w:hAnsi="Times New Roman" w:cs="Times New Roman"/>
                <w:color w:val="000000"/>
              </w:rPr>
              <w:t>Ban Giám đốc Sở;</w:t>
            </w:r>
          </w:p>
          <w:p w14:paraId="385E30DF"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QLCN(Trung)</w:t>
            </w:r>
            <w:r w:rsidRPr="003520B1">
              <w:rPr>
                <w:rFonts w:ascii="Times New Roman" w:eastAsia="Times New Roman" w:hAnsi="Times New Roman" w:cs="Times New Roman"/>
                <w:color w:val="000000"/>
                <w:vertAlign w:val="subscript"/>
              </w:rPr>
            </w:r>
          </w:p>
        </w:tc>
        <w:tc>
          <w:tcPr>
            <w:tcW w:w="2404" w:type="dxa"/>
          </w:tcPr>
          <w:p w14:paraId="29E7E531"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C832B54"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Nguyễn Đình Chiến</w:t>
            </w:r>
          </w:p>
        </w:tc>
      </w:tr>
    </w:tbl>
    <w:p w14:paraId="5BA490F4" w14:textId="77777777" w:rsidR="00163B95" w:rsidRDefault="00163B95"/>
    <w:sectPr w:rsidR="00163B95"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7F77A" w14:textId="77777777" w:rsidR="007B5634" w:rsidRDefault="007B5634" w:rsidP="00A1446C">
      <w:pPr>
        <w:spacing w:after="0" w:line="240" w:lineRule="auto"/>
      </w:pPr>
      <w:r>
        <w:separator/>
      </w:r>
    </w:p>
  </w:endnote>
  <w:endnote w:type="continuationSeparator" w:id="0">
    <w:p w14:paraId="1712A945" w14:textId="77777777" w:rsidR="007B5634" w:rsidRDefault="007B5634"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6FB88" w14:textId="77777777" w:rsidR="007B5634" w:rsidRDefault="007B5634" w:rsidP="00A1446C">
      <w:pPr>
        <w:spacing w:after="0" w:line="240" w:lineRule="auto"/>
      </w:pPr>
      <w:r>
        <w:separator/>
      </w:r>
    </w:p>
  </w:footnote>
  <w:footnote w:type="continuationSeparator" w:id="0">
    <w:p w14:paraId="3E338FBD" w14:textId="77777777" w:rsidR="007B5634" w:rsidRDefault="007B5634"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27318DD1" w14:textId="4F49D05D"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4714EA">
          <w:rPr>
            <w:rFonts w:ascii="Times New Roman" w:hAnsi="Times New Roman" w:cs="Times New Roman"/>
            <w:noProof/>
            <w:sz w:val="28"/>
            <w:szCs w:val="28"/>
          </w:rPr>
          <w:t>2</w:t>
        </w:r>
        <w:r w:rsidRPr="00A1446C">
          <w:rPr>
            <w:rFonts w:ascii="Times New Roman" w:hAnsi="Times New Roman" w:cs="Times New Roman"/>
            <w:noProof/>
            <w:sz w:val="28"/>
            <w:szCs w:val="28"/>
          </w:rPr>
          <w:fldChar w:fldCharType="end"/>
        </w:r>
      </w:p>
    </w:sdtContent>
  </w:sdt>
  <w:p w14:paraId="331A424D"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F195B"/>
    <w:rsid w:val="0014106E"/>
    <w:rsid w:val="00163B95"/>
    <w:rsid w:val="00182F4D"/>
    <w:rsid w:val="002362C0"/>
    <w:rsid w:val="00284012"/>
    <w:rsid w:val="00290570"/>
    <w:rsid w:val="00343FD8"/>
    <w:rsid w:val="003520B1"/>
    <w:rsid w:val="003A63E5"/>
    <w:rsid w:val="003D364B"/>
    <w:rsid w:val="003F28CC"/>
    <w:rsid w:val="00450544"/>
    <w:rsid w:val="004714EA"/>
    <w:rsid w:val="005D728C"/>
    <w:rsid w:val="00636F63"/>
    <w:rsid w:val="006F6610"/>
    <w:rsid w:val="00734768"/>
    <w:rsid w:val="007B5634"/>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26</cp:revision>
  <cp:lastPrinted>2022-06-16T01:59:00Z</cp:lastPrinted>
  <dcterms:created xsi:type="dcterms:W3CDTF">2022-06-13T04:03:00Z</dcterms:created>
  <dcterms:modified xsi:type="dcterms:W3CDTF">2026-07-24T12:41:00Z</dcterms:modified>
</cp:coreProperties>
</file>