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00"/>
        <w:rPr>
          <w:b/>
          <w:sz w:val="28"/>
          <w:szCs w:val="28"/>
        </w:rPr>
      </w:pPr>
      <w:r>
        <w:rPr>
          <w:b/>
          <w:sz w:val="28"/>
          <w:szCs w:val="28"/>
        </w:rPr>
      </w:r>
    </w:p>
    <w:p>
      <w:pPr>
        <w:pStyle w:val="Normal"/>
        <w:ind w:firstLine="720" w:end="0"/>
        <w:rPr>
          <w:b/>
          <w:sz w:val="28"/>
          <w:szCs w:val="28"/>
        </w:rPr>
      </w:pPr>
      <w:r>
        <w:rPr>
          <w:b/>
          <w:sz w:val="28"/>
          <w:szCs w:val="28"/>
        </w:rPr>
        <w:t xml:space="preserve">  </w:t>
      </w:r>
      <w:r>
        <w:rPr>
          <w:b/>
          <w:sz w:val="28"/>
          <w:szCs w:val="28"/>
        </w:rPr>
        <w:t xml:space="preserve">VĂN BẢN QUY PHẠM PHÁP LUẬT VỀ HÓA CHẤT </w:t>
      </w:r>
    </w:p>
    <w:p>
      <w:pPr>
        <w:pStyle w:val="Normal"/>
        <w:ind w:firstLine="720" w:end="0"/>
        <w:jc w:val="both"/>
        <w:rPr/>
      </w:pPr>
      <w:r>
        <w:rPr>
          <w:sz w:val="28"/>
          <w:szCs w:val="28"/>
        </w:rPr>
        <w:t>1. Luật hóa chất số: 06/2007/QH12 ngày 21/11/2007 của Quốc hội ban hành Quy định về hoạt động hóa chất, an toàn trong hoạt động hóa chất, quyền và nghĩa vụ của tổ chức, cá nhân tham gia hoạt động hóa chất, quản lý nhà nước về hoạt động hóa chất.</w:t>
      </w:r>
    </w:p>
    <w:p>
      <w:pPr>
        <w:pStyle w:val="Normal"/>
        <w:ind w:firstLine="720" w:end="0"/>
        <w:jc w:val="both"/>
        <w:rPr>
          <w:sz w:val="28"/>
          <w:szCs w:val="28"/>
        </w:rPr>
      </w:pPr>
      <w:r>
        <w:rPr>
          <w:sz w:val="28"/>
          <w:szCs w:val="28"/>
        </w:rPr>
        <w:t>2. Nghị định số 113/2017/NĐ-CP ngày 09/10/2017 của Chính phủ quy định chi tiết và hướng dẫn thi hành một số điều của Luật hóa chất.</w:t>
      </w:r>
    </w:p>
    <w:p>
      <w:pPr>
        <w:pStyle w:val="Normal"/>
        <w:ind w:firstLine="720" w:end="0"/>
        <w:jc w:val="both"/>
        <w:rPr>
          <w:spacing w:val="-2"/>
          <w:sz w:val="28"/>
          <w:szCs w:val="28"/>
        </w:rPr>
      </w:pPr>
      <w:r>
        <w:rPr>
          <w:spacing w:val="-2"/>
          <w:sz w:val="28"/>
          <w:szCs w:val="28"/>
        </w:rPr>
        <w:t>3</w:t>
      </w:r>
      <w:r>
        <w:rPr>
          <w:spacing w:val="-2"/>
          <w:sz w:val="28"/>
          <w:szCs w:val="28"/>
          <w:lang w:val="vi-VN"/>
        </w:rPr>
        <w:t>. Nghị định số 82/2022/NĐ-CP ngày 18/10/2022 của Chính phủ sửa đổi, bổ sung một số điều của NĐ số 113/2017/NĐ-CP.</w:t>
      </w:r>
    </w:p>
    <w:p>
      <w:pPr>
        <w:pStyle w:val="Normal"/>
        <w:ind w:firstLine="720" w:end="0"/>
        <w:jc w:val="both"/>
        <w:rPr>
          <w:spacing w:val="-2"/>
          <w:sz w:val="28"/>
          <w:szCs w:val="28"/>
        </w:rPr>
      </w:pPr>
      <w:r>
        <w:rPr>
          <w:spacing w:val="-2"/>
          <w:sz w:val="28"/>
          <w:szCs w:val="28"/>
        </w:rPr>
        <w:t>4. NĐ số 17/2020/NĐ-CP ngày 05/2/2020 của Chính Phủ NĐ sửa đổi, bổ sung một số điều của các NĐ liên quan đến điều kiện đầu tư kinh doanh thuộc lĩnh vực quản lý nhà nước của Bộ Công Thương.</w:t>
      </w:r>
    </w:p>
    <w:p>
      <w:pPr>
        <w:pStyle w:val="Normal"/>
        <w:ind w:firstLine="720" w:end="0"/>
        <w:jc w:val="both"/>
        <w:rPr>
          <w:spacing w:val="-2"/>
          <w:sz w:val="28"/>
          <w:szCs w:val="28"/>
        </w:rPr>
      </w:pPr>
      <w:r>
        <w:rPr>
          <w:spacing w:val="-2"/>
          <w:sz w:val="28"/>
          <w:szCs w:val="28"/>
        </w:rPr>
        <w:t>5. Nghị định 33/2024/NĐ-CP ngày 27/3/2024 của Chính Phủ quy định việc thực hiện Công ước cấm phát triển, sản xuất, tàng chữ, sử dụng và phá hủy vũ khí hóa học.</w:t>
      </w:r>
    </w:p>
    <w:p>
      <w:pPr>
        <w:pStyle w:val="Normal"/>
        <w:ind w:firstLine="720" w:end="0"/>
        <w:jc w:val="both"/>
        <w:rPr/>
      </w:pPr>
      <w:r>
        <w:rPr>
          <w:sz w:val="28"/>
          <w:szCs w:val="28"/>
        </w:rPr>
        <w:t>6. Thông tư số 32/2017/TT-BCT ngày 28/12/2017 của Bộ Công thương quy định cụ thể và hướng dẫn thi hành một số điều của Luật hóa chất và Nghị định số 113/2017/NĐ-CP ngày 09/10/2017 của Chính phủ quy định chi tiết và hướng dẫn thi hành một số điều của Luật hóa chất.</w:t>
      </w:r>
    </w:p>
    <w:p>
      <w:pPr>
        <w:pStyle w:val="Normal"/>
        <w:ind w:firstLine="720" w:end="0"/>
        <w:jc w:val="both"/>
        <w:rPr>
          <w:spacing w:val="-2"/>
          <w:sz w:val="28"/>
          <w:szCs w:val="28"/>
        </w:rPr>
      </w:pPr>
      <w:r>
        <w:rPr>
          <w:spacing w:val="-2"/>
          <w:sz w:val="28"/>
          <w:szCs w:val="28"/>
        </w:rPr>
        <w:t>7</w:t>
      </w:r>
      <w:r>
        <w:rPr>
          <w:spacing w:val="-2"/>
          <w:sz w:val="28"/>
          <w:szCs w:val="28"/>
          <w:lang w:val="vi-VN"/>
        </w:rPr>
        <w:t>. Thông tư số 17/2022/TT-BCT ngày 27/10/2022 của Bộ Công Thương sửa đổi, bổ sung một số điều Thông tư số 32/2017/TT-BCT.</w:t>
      </w:r>
    </w:p>
    <w:p>
      <w:pPr>
        <w:pStyle w:val="Normal"/>
        <w:ind w:firstLine="720" w:end="0"/>
        <w:jc w:val="both"/>
        <w:rPr>
          <w:spacing w:val="-2"/>
          <w:sz w:val="28"/>
          <w:szCs w:val="28"/>
        </w:rPr>
      </w:pPr>
      <w:r>
        <w:rPr>
          <w:spacing w:val="-2"/>
          <w:sz w:val="28"/>
          <w:szCs w:val="28"/>
        </w:rPr>
        <w:t>8. Quyết định 726/QĐ-TTg ngày 16/6/2022 của Thủ tướng Chính phủ phê quyệt chiến lược phát triển ngành công nghiệp hóa chất Việt Nam đến năm 2030, tầm nhìn 2040.</w:t>
      </w:r>
    </w:p>
    <w:p>
      <w:pPr>
        <w:pStyle w:val="Normal"/>
        <w:ind w:firstLine="720" w:end="0"/>
        <w:jc w:val="both"/>
        <w:rPr>
          <w:spacing w:val="-2"/>
          <w:sz w:val="28"/>
          <w:szCs w:val="28"/>
        </w:rPr>
      </w:pPr>
      <w:r>
        <w:rPr>
          <w:spacing w:val="-2"/>
          <w:sz w:val="28"/>
          <w:szCs w:val="28"/>
        </w:rPr>
        <w:t>9. Quyết định 26/2016/QĐ-TTg ngày 01/7/2016 của Thủ tướng chính phủ ban hành quy chế hoạt động ứng phó sự cố hóa chất độc.</w:t>
      </w:r>
    </w:p>
    <w:p>
      <w:pPr>
        <w:pStyle w:val="Normal"/>
        <w:ind w:firstLine="720" w:end="0"/>
        <w:jc w:val="both"/>
        <w:rPr>
          <w:sz w:val="28"/>
          <w:szCs w:val="28"/>
        </w:rPr>
      </w:pPr>
      <w:r>
        <w:rPr>
          <w:sz w:val="28"/>
          <w:szCs w:val="28"/>
        </w:rPr>
        <w:t>10. TCVN 5507: 2002 Hóa chất nguy hiểm – Quy phạm an toàn trong sản xuất, kinh doanh, sử dụng hóa chất nguy hiểm.</w:t>
      </w:r>
    </w:p>
    <w:p>
      <w:pPr>
        <w:pStyle w:val="Normal"/>
        <w:ind w:firstLine="720" w:end="0"/>
        <w:jc w:val="both"/>
        <w:rPr>
          <w:spacing w:val="-2"/>
          <w:sz w:val="28"/>
          <w:szCs w:val="28"/>
        </w:rPr>
      </w:pPr>
      <w:r>
        <w:rPr>
          <w:spacing w:val="-2"/>
          <w:sz w:val="28"/>
          <w:szCs w:val="28"/>
        </w:rPr>
        <w:t>11. Thông tư 48/2020/TT-BCT ngày 21/12/2020 của Bộ Công Thương về việc ban hành Quy chuẩn kỹ thuật quốc gia về an toàn trong sản xuất, kinh doanh, sử dụng, bảo quản và vận chuyển hóa chất nguy hiểm QCVN 05:2020/BCT. ( có hiệu lực từ 01/1/2022)</w:t>
      </w:r>
    </w:p>
    <w:p>
      <w:pPr>
        <w:pStyle w:val="Normal"/>
        <w:ind w:firstLine="720" w:end="0"/>
        <w:jc w:val="both"/>
        <w:rPr>
          <w:spacing w:val="-2"/>
          <w:sz w:val="28"/>
          <w:szCs w:val="28"/>
          <w:lang w:val="vi-VN"/>
        </w:rPr>
      </w:pPr>
      <w:r>
        <w:rPr>
          <w:sz w:val="28"/>
          <w:szCs w:val="28"/>
        </w:rPr>
        <w:t xml:space="preserve">12. </w:t>
      </w:r>
      <w:r>
        <w:rPr>
          <w:spacing w:val="-2"/>
          <w:sz w:val="28"/>
          <w:szCs w:val="28"/>
        </w:rPr>
        <w:t>Quyết định số 193/QĐ-BCT của Bộ trưởng Bộ Công Thương ngày 21/01/2021 về việc đính chính các Quy chuẩn kỹ thuật quốc gia ban hành kèm theo Thông tư số 45/2020/TT-BCT; Thông tư số 56/2020/TT-BCT, Thông tư số 47/2020/TT-BCT, Thông tư số 48/2020/TT-BCT, Thông tư số 49/2020/TT-BCT, Thông tư số 50/2020/TT-BCT.</w:t>
      </w:r>
    </w:p>
    <w:p>
      <w:pPr>
        <w:pStyle w:val="Normal"/>
        <w:ind w:firstLine="720" w:end="0"/>
        <w:jc w:val="both"/>
        <w:rPr/>
      </w:pPr>
      <w:r>
        <w:rPr>
          <w:spacing w:val="-2"/>
          <w:sz w:val="28"/>
          <w:szCs w:val="28"/>
        </w:rPr>
        <w:t>13. Thông tư 19/2024/TT-BCT ngày 10/10/2024 Thông tư ban hành sửa đổi 1:2024 QCVN 05A:2020/BCT Quy chuẩn kỹ thuật quốc gia về an toàn trong sản xuất, kinh doanh, sử dụng, bảo quản và vận chuyển hóa chất nguy hiểm.</w:t>
      </w:r>
    </w:p>
    <w:p>
      <w:pPr>
        <w:pStyle w:val="Normal"/>
        <w:ind w:firstLine="720" w:end="0"/>
        <w:jc w:val="both"/>
        <w:rPr/>
      </w:pPr>
      <w:r>
        <w:rPr>
          <w:spacing w:val="-2"/>
          <w:sz w:val="28"/>
          <w:szCs w:val="28"/>
        </w:rPr>
        <w:t>14. Nghị định 71/2019/NĐ-CP của Chính phủ ngày 30/8/2019 quy định xử phạt vi phạm hành chính trong lĩnh vực hóa chất và vật liệu nổ công nghiệp.</w:t>
      </w:r>
    </w:p>
    <w:p>
      <w:pPr>
        <w:pStyle w:val="Normal"/>
        <w:ind w:firstLine="720" w:end="0"/>
        <w:jc w:val="both"/>
        <w:rPr>
          <w:spacing w:val="-2"/>
          <w:sz w:val="28"/>
          <w:szCs w:val="28"/>
        </w:rPr>
      </w:pPr>
      <w:r>
        <w:rPr>
          <w:spacing w:val="-2"/>
          <w:sz w:val="28"/>
          <w:szCs w:val="28"/>
        </w:rPr>
        <w:t>15. Nghị định 17/2022/NĐ-CP ngày 31/01/2022 của Chính phủ sửa đổi, bổ sung một số điều của nghị định quy định về xử phạt, vi phạm hành chính trong lĩnh vực hóa chất và vật liệu nổ công nghiệp; điện lực, an toàn thủy điện, sử dụng năng lượng tiết kiệm và hiệu quả; hoạt động thương mại, sản xuất, buôn bán hàng giả, hàng cấm và bảo vệ quyền lợi người tiêu dùng; hoạt động dầu khí, kinh doanh xăng dầu và khí.</w:t>
      </w:r>
    </w:p>
    <w:p>
      <w:pPr>
        <w:pStyle w:val="Normal"/>
        <w:ind w:firstLine="720" w:end="0"/>
        <w:jc w:val="both"/>
        <w:rPr>
          <w:spacing w:val="-2"/>
          <w:sz w:val="28"/>
          <w:szCs w:val="28"/>
        </w:rPr>
      </w:pPr>
      <w:r>
        <w:rPr>
          <w:spacing w:val="-2"/>
          <w:sz w:val="28"/>
          <w:szCs w:val="28"/>
        </w:rPr>
        <w:t>16. Nghị định 146/2025/NĐ-CP ngày 12/6/2025 của Chính phủ quy định về phân quyền, phân cấp trong lĩnh vực công nghiệp và thương mại.</w:t>
      </w:r>
    </w:p>
    <w:p>
      <w:pPr>
        <w:pStyle w:val="Normal"/>
        <w:ind w:firstLine="720" w:end="0"/>
        <w:jc w:val="both"/>
        <w:rPr>
          <w:spacing w:val="-2"/>
          <w:sz w:val="28"/>
          <w:szCs w:val="28"/>
        </w:rPr>
      </w:pPr>
      <w:r>
        <w:rPr>
          <w:spacing w:val="-2"/>
          <w:sz w:val="28"/>
          <w:szCs w:val="28"/>
        </w:rPr>
        <w:t>17. Thông  tư 37/2025/TT-BCT ngày 14/6/2025 của Bộ Công Thương hướng dẫn chức năng, nhiệm vụ, quyền hạn của cơ quan chuyên môn về công thương thuộc ủy ban nhân dân tỉnh, thành phố trực thuộc trung uông và ủy ban nhân dân cấp xã, phường, đặc thù thuộc tỉnh, thành phố trực thuộc trung ương.</w:t>
      </w:r>
    </w:p>
    <w:p>
      <w:pPr>
        <w:pStyle w:val="Normal"/>
        <w:ind w:firstLine="720" w:end="0"/>
        <w:jc w:val="both"/>
        <w:rPr>
          <w:spacing w:val="-2"/>
          <w:sz w:val="28"/>
          <w:szCs w:val="28"/>
        </w:rPr>
      </w:pPr>
      <w:r>
        <w:rPr>
          <w:spacing w:val="-2"/>
          <w:sz w:val="28"/>
          <w:szCs w:val="28"/>
        </w:rPr>
      </w:r>
    </w:p>
    <w:p>
      <w:pPr>
        <w:pStyle w:val="Normal"/>
        <w:ind w:firstLine="720" w:end="0"/>
        <w:jc w:val="both"/>
        <w:rPr>
          <w:sz w:val="28"/>
          <w:szCs w:val="28"/>
        </w:rPr>
      </w:pPr>
      <w:r>
        <w:rPr>
          <w:sz w:val="28"/>
          <w:szCs w:val="28"/>
        </w:rPr>
      </w:r>
    </w:p>
    <w:p>
      <w:pPr>
        <w:pStyle w:val="Normal"/>
        <w:ind w:firstLine="720" w:end="0"/>
        <w:jc w:val="both"/>
        <w:rPr>
          <w:sz w:val="28"/>
          <w:szCs w:val="28"/>
        </w:rPr>
      </w:pPr>
      <w:r>
        <w:rPr>
          <w:sz w:val="28"/>
          <w:szCs w:val="28"/>
        </w:rPr>
      </w:r>
    </w:p>
    <w:p>
      <w:pPr>
        <w:pStyle w:val="Normal"/>
        <w:ind w:firstLine="720" w:end="0"/>
        <w:jc w:val="both"/>
        <w:rPr>
          <w:sz w:val="28"/>
          <w:szCs w:val="28"/>
        </w:rPr>
      </w:pPr>
      <w:r>
        <w:rPr>
          <w:sz w:val="28"/>
          <w:szCs w:val="28"/>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style>
  <w:style w:type="character" w:styleId="WW8Num2z0">
    <w:name w:val="WW8Num2z0"/>
    <w:qFormat/>
    <w:rPr>
      <w:rFonts w:ascii="Times New Roman" w:hAnsi="Times New Roman" w:eastAsia="Times New Roman" w:cs="Times New Roman"/>
      <w:i/>
    </w:rPr>
  </w:style>
  <w:style w:type="character" w:styleId="DefaultParagraphFont">
    <w:name w:val="Default Paragraph Font"/>
    <w:qFormat/>
    <w:rPr/>
  </w:style>
  <w:style w:type="character" w:styleId="BodyTextChar">
    <w:name w:val="Body Text Char"/>
    <w:qFormat/>
    <w:rPr>
      <w:sz w:val="24"/>
      <w:szCs w:val="24"/>
    </w:rPr>
  </w:style>
  <w:style w:type="character" w:styleId="BodyTextChar1">
    <w:name w:val="Body Text Char1"/>
    <w:qFormat/>
    <w:rPr>
      <w:sz w:val="74"/>
      <w:szCs w:val="74"/>
      <w:shd w:fill="FFFFFF"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widowControl w:val="false"/>
      <w:shd w:fill="FFFFFF" w:val="clear"/>
      <w:spacing w:lineRule="auto" w:line="283" w:before="0" w:after="320"/>
      <w:ind w:firstLine="400" w:start="0" w:end="0"/>
      <w:jc w:val="both"/>
    </w:pPr>
    <w:rPr>
      <w:sz w:val="74"/>
      <w:szCs w:val="7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harCharCharChar">
    <w:name w:val=" Char Char Char Char"/>
    <w:basedOn w:val="Normal"/>
    <w:qFormat/>
    <w:pPr>
      <w:spacing w:lineRule="exact" w:line="240" w:before="0" w:after="160"/>
    </w:pPr>
    <w:rPr>
      <w:rFonts w:ascii="Arial" w:hAnsi="Arial" w:cs="Arial"/>
      <w:sz w:val="22"/>
      <w:szCs w:val="22"/>
    </w:rPr>
  </w:style>
  <w:style w:type="paragraph" w:styleId="CharCharCharCharCharCharChar">
    <w:name w:val=" Char Char Char Char Char Char Char"/>
    <w:basedOn w:val="Normal"/>
    <w:next w:val="Normal"/>
    <w:qFormat/>
    <w:pPr>
      <w:spacing w:lineRule="auto" w:line="312" w:before="120" w:after="120"/>
    </w:pPr>
    <w:rPr>
      <w:sz w:val="28"/>
      <w:szCs w:val="28"/>
    </w:rPr>
  </w:style>
  <w:style w:type="paragraph" w:styleId="Char">
    <w:name w:val=" Char"/>
    <w:basedOn w:val="Normal"/>
    <w:qFormat/>
    <w:pPr/>
    <w:rPr>
      <w:rFonts w:ascii="Arial" w:hAnsi="Arial" w:cs="Arial"/>
      <w:sz w:val="22"/>
      <w:szCs w:val="20"/>
      <w:lang w:val="en-AU"/>
    </w:rPr>
  </w:style>
  <w:style w:type="paragraph" w:styleId="NormalWeb">
    <w:name w:val="Normal (Web)"/>
    <w:basedOn w:val="Normal"/>
    <w:qFormat/>
    <w:pPr>
      <w:spacing w:before="280" w:after="280"/>
    </w:pPr>
    <w:rPr/>
  </w:style>
  <w:style w:type="paragraph" w:styleId="CharCharCharCharCharCharCharCharChar1Char">
    <w:name w:val=" Char Char Char Char Char Char Char Char Char1 Char"/>
    <w:basedOn w:val="Normal"/>
    <w:next w:val="Normal"/>
    <w:qFormat/>
    <w:pPr>
      <w:spacing w:lineRule="auto" w:line="312" w:before="120" w:after="120"/>
    </w:pPr>
    <w:rPr>
      <w:sz w:val="28"/>
      <w:szCs w:val="22"/>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2013-03-25T02:23:00Z</dcterms:created>
  <dc:creator>Thanh An</dc:creator>
  <dc:description/>
  <cp:keywords/>
  <dc:language>en-US</dc:language>
  <cp:lastModifiedBy>John Scott</cp:lastModifiedBy>
  <dcterms:modified xsi:type="dcterms:W3CDTF">2025-11-14T01:17:00Z</dcterms:modified>
  <cp:revision>112</cp:revision>
  <dc:subject/>
  <dc:title/>
</cp:coreProperties>
</file>