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24" w:type="dxa"/>
        <w:jc w:val="start"/>
        <w:tblInd w:w="108" w:type="dxa"/>
        <w:tblLayout w:type="fixed"/>
        <w:tblCellMar>
          <w:top w:w="0" w:type="dxa"/>
          <w:start w:w="108" w:type="dxa"/>
          <w:bottom w:w="0" w:type="dxa"/>
          <w:end w:w="108" w:type="dxa"/>
        </w:tblCellMar>
      </w:tblPr>
      <w:tblGrid>
        <w:gridCol w:w="2977"/>
        <w:gridCol w:w="6947"/>
      </w:tblGrid>
      <w:tr>
        <w:trPr>
          <w:trHeight w:val="824" w:hRule="atLeast"/>
        </w:trPr>
        <w:tc>
          <w:tcPr>
            <w:tcW w:w="2977" w:type="dxa"/>
            <w:tcBorders/>
          </w:tcPr>
          <w:p>
            <w:pPr>
              <w:pStyle w:val="BodyText2"/>
              <w:snapToGrid w:val="false"/>
              <w:jc w:val="center"/>
              <w:rPr>
                <w:color w:val="000000"/>
                <w:spacing w:val="-8"/>
                <w:sz w:val="26"/>
                <w:szCs w:val="26"/>
              </w:rPr>
            </w:pPr>
            <w:r>
              <w:rPr>
                <w:color w:val="000000"/>
                <w:spacing w:val="-8"/>
                <w:sz w:val="26"/>
                <w:szCs w:val="26"/>
              </w:rPr>
              <w:t>UBND TỈNH LÀO CAI</w:t>
            </w:r>
          </w:p>
          <w:p>
            <w:pPr>
              <w:pStyle w:val="BodyText2"/>
              <w:snapToGrid w:val="false"/>
              <w:jc w:val="center"/>
              <w:rPr/>
            </w:pPr>
            <w:r>
              <mc:AlternateContent>
                <mc:Choice Requires="wps">
                  <w:drawing>
                    <wp:anchor behindDoc="0" distT="0" distB="0" distL="114935" distR="114935" simplePos="0" locked="0" layoutInCell="1" allowOverlap="1" relativeHeight="2">
                      <wp:simplePos x="0" y="0"/>
                      <wp:positionH relativeFrom="column">
                        <wp:posOffset>549275</wp:posOffset>
                      </wp:positionH>
                      <wp:positionV relativeFrom="paragraph">
                        <wp:posOffset>229870</wp:posOffset>
                      </wp:positionV>
                      <wp:extent cx="588010" cy="0"/>
                      <wp:effectExtent l="0" t="5080" r="0" b="5080"/>
                      <wp:wrapNone/>
                      <wp:docPr id="1" name="Line 2"/>
                      <a:graphic xmlns:a="http://schemas.openxmlformats.org/drawingml/2006/main">
                        <a:graphicData uri="http://schemas.microsoft.com/office/word/2010/wordprocessingShape">
                          <wps:wsp>
                            <wps:cNvSpPr/>
                            <wps:spPr>
                              <a:xfrm>
                                <a:off x="0" y="0"/>
                                <a:ext cx="587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3.25pt,18.1pt" to="89.5pt,18.1pt" ID="Line 2" stroked="t" o:allowincell="t" style="position:absolute">
                      <v:stroke color="black" weight="9360" joinstyle="miter" endcap="flat"/>
                      <v:fill o:detectmouseclick="t" on="false"/>
                      <w10:wrap type="none"/>
                    </v:line>
                  </w:pict>
                </mc:Fallback>
              </mc:AlternateContent>
            </w:r>
            <w:r>
              <w:rPr>
                <w:b/>
                <w:color w:val="000000"/>
                <w:spacing w:val="-8"/>
                <w:sz w:val="26"/>
                <w:szCs w:val="26"/>
              </w:rPr>
              <w:t>SỞ CÔNG THƯƠNG</w:t>
            </w:r>
          </w:p>
        </w:tc>
        <w:tc>
          <w:tcPr>
            <w:tcW w:w="6947" w:type="dxa"/>
            <w:tcBorders/>
          </w:tcPr>
          <w:p>
            <w:pPr>
              <w:pStyle w:val="Normal"/>
              <w:snapToGrid w:val="false"/>
              <w:jc w:val="center"/>
              <w:rPr>
                <w:rFonts w:ascii="Times New Roman" w:hAnsi="Times New Roman" w:cs="Times New Roman"/>
                <w:b/>
                <w:color w:val="000000"/>
                <w:sz w:val="26"/>
                <w:szCs w:val="26"/>
              </w:rPr>
            </w:pPr>
            <w:r>
              <w:rPr>
                <w:rFonts w:cs="Times New Roman" w:ascii="Times New Roman" w:hAnsi="Times New Roman"/>
                <w:b/>
                <w:color w:val="000000"/>
                <w:sz w:val="26"/>
                <w:szCs w:val="26"/>
              </w:rPr>
              <w:t>CỘNG HOÀ XÃ HỘI CHỦ NGHĨA VIỆT NAM</w:t>
            </w:r>
          </w:p>
          <w:p>
            <w:pPr>
              <w:pStyle w:val="Normal"/>
              <w:snapToGrid w:val="false"/>
              <w:jc w:val="center"/>
              <w:rPr>
                <w:rFonts w:ascii="Times New Roman" w:hAnsi="Times New Roman" w:cs="Times New Roman"/>
                <w:b/>
                <w:color w:val="000000"/>
              </w:rPr>
            </w:pPr>
            <w:r>
              <mc:AlternateContent>
                <mc:Choice Requires="wps">
                  <w:drawing>
                    <wp:anchor behindDoc="0" distT="0" distB="0" distL="114935" distR="114935" simplePos="0" locked="0" layoutInCell="1" allowOverlap="1" relativeHeight="3">
                      <wp:simplePos x="0" y="0"/>
                      <wp:positionH relativeFrom="column">
                        <wp:posOffset>1085215</wp:posOffset>
                      </wp:positionH>
                      <wp:positionV relativeFrom="paragraph">
                        <wp:posOffset>234950</wp:posOffset>
                      </wp:positionV>
                      <wp:extent cx="2152015" cy="0"/>
                      <wp:effectExtent l="0" t="5080" r="0" b="5080"/>
                      <wp:wrapNone/>
                      <wp:docPr id="2" name="Line 3"/>
                      <a:graphic xmlns:a="http://schemas.openxmlformats.org/drawingml/2006/main">
                        <a:graphicData uri="http://schemas.microsoft.com/office/word/2010/wordprocessingShape">
                          <wps:wsp>
                            <wps:cNvSpPr/>
                            <wps:spPr>
                              <a:xfrm>
                                <a:off x="0" y="0"/>
                                <a:ext cx="2152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5.45pt,18.5pt" to="254.85pt,18.5pt" ID="Line 3"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color w:val="000000"/>
              </w:rPr>
              <w:t>Độc lập - Tự do - Hạnh phúc</w:t>
            </w:r>
          </w:p>
        </w:tc>
      </w:tr>
      <w:tr>
        <w:trPr>
          <w:trHeight w:val="582" w:hRule="atLeast"/>
        </w:trPr>
        <w:tc>
          <w:tcPr>
            <w:tcW w:w="2977" w:type="dxa"/>
            <w:tcBorders/>
          </w:tcPr>
          <w:p>
            <w:pPr>
              <w:pStyle w:val="BodyText2"/>
              <w:spacing w:lineRule="exact" w:line="360" w:before="60" w:after="0"/>
              <w:jc w:val="center"/>
              <w:rPr/>
            </w:pPr>
            <w:r>
              <w:rPr>
                <w:color w:val="000000"/>
                <w:spacing w:val="-8"/>
                <w:sz w:val="26"/>
                <w:szCs w:val="26"/>
              </w:rPr>
              <w:t>Số:         /BC-SCT</w:t>
            </w:r>
          </w:p>
        </w:tc>
        <w:tc>
          <w:tcPr>
            <w:tcW w:w="6947" w:type="dxa"/>
            <w:tcBorders/>
          </w:tcPr>
          <w:p>
            <w:pPr>
              <w:pStyle w:val="Normal"/>
              <w:snapToGrid w:val="false"/>
              <w:spacing w:lineRule="exact" w:line="360" w:before="60" w:after="0"/>
              <w:jc w:val="center"/>
              <w:rPr>
                <w:rFonts w:ascii="Times New Roman" w:hAnsi="Times New Roman" w:cs="Times New Roman"/>
                <w:i/>
                <w:i/>
                <w:color w:val="000000"/>
              </w:rPr>
            </w:pPr>
            <w:r>
              <w:rPr>
                <w:rFonts w:cs="Times New Roman" w:ascii="Times New Roman" w:hAnsi="Times New Roman"/>
                <w:i/>
                <w:color w:val="000000"/>
              </w:rPr>
              <w:t>Lào Cai, ngày       tháng  01 năm 2026</w:t>
            </w:r>
          </w:p>
        </w:tc>
      </w:tr>
    </w:tbl>
    <w:p>
      <w:pPr>
        <w:pStyle w:val="Normal"/>
        <w:keepNext w:val="true"/>
        <w:rPr>
          <w:rFonts w:ascii="Times New Roman" w:hAnsi="Times New Roman" w:cs="Times New Roman"/>
          <w:color w:val="000000"/>
          <w:sz w:val="20"/>
        </w:rPr>
      </w:pPr>
      <w:r>
        <w:rPr>
          <w:rFonts w:cs="Times New Roman" w:ascii="Times New Roman" w:hAnsi="Times New Roman"/>
          <w:color w:val="000000"/>
          <w:sz w:val="20"/>
        </w:rPr>
      </w:r>
    </w:p>
    <w:p>
      <w:pPr>
        <w:pStyle w:val="Normal"/>
        <w:jc w:val="center"/>
        <w:rPr>
          <w:rFonts w:ascii="Times New Roman" w:hAnsi="Times New Roman" w:cs="Times New Roman"/>
          <w:b/>
          <w:color w:val="000000"/>
          <w:sz w:val="20"/>
        </w:rPr>
      </w:pPr>
      <w:r>
        <w:rPr>
          <w:rFonts w:cs="Times New Roman" w:ascii="Times New Roman" w:hAnsi="Times New Roman"/>
          <w:b/>
          <w:color w:val="000000"/>
          <w:sz w:val="20"/>
        </w:rPr>
      </w:r>
    </w:p>
    <w:p>
      <w:pPr>
        <w:pStyle w:val="Normal"/>
        <w:jc w:val="center"/>
        <w:rPr>
          <w:rFonts w:ascii="Times New Roman" w:hAnsi="Times New Roman" w:cs="Times New Roman"/>
          <w:b/>
          <w:color w:val="000000"/>
        </w:rPr>
      </w:pPr>
      <w:r>
        <w:rPr>
          <w:rFonts w:cs="Times New Roman" w:ascii="Times New Roman" w:hAnsi="Times New Roman"/>
          <w:b/>
          <w:color w:val="000000"/>
        </w:rPr>
        <w:t>BÁO CÁO</w:t>
      </w:r>
    </w:p>
    <w:p>
      <w:pPr>
        <w:pStyle w:val="Normal"/>
        <w:jc w:val="center"/>
        <w:rPr>
          <w:rFonts w:ascii="Times New Roman" w:hAnsi="Times New Roman" w:cs="Times New Roman"/>
          <w:b/>
          <w:color w:val="000000"/>
        </w:rPr>
      </w:pPr>
      <w:r>
        <w:rPr>
          <w:rFonts w:cs="Times New Roman" w:ascii="Times New Roman" w:hAnsi="Times New Roman"/>
          <w:b/>
          <w:color w:val="000000"/>
        </w:rPr>
        <w:t>Kết quả triển khai Chiến lược phát triển ngành công nghiệp hóa chất Việt Nam đến năm 2030, tầm nhìn đến năm 2040</w:t>
      </w:r>
    </w:p>
    <w:p>
      <w:pPr>
        <w:pStyle w:val="Normal"/>
        <w:keepNext w:val="true"/>
        <w:rPr>
          <w:rFonts w:ascii="Times New Roman" w:hAnsi="Times New Roman" w:cs="Times New Roman"/>
          <w:b/>
          <w:color w:val="000000"/>
          <w:sz w:val="20"/>
          <w:lang w:val="en-US" w:eastAsia="en-US"/>
        </w:rPr>
      </w:pPr>
      <w:r>
        <w:rPr>
          <w:rFonts w:cs="Times New Roman" w:ascii="Times New Roman" w:hAnsi="Times New Roman"/>
          <w:b/>
          <w:color w:val="000000"/>
          <w:sz w:val="20"/>
          <w:lang w:val="en-US" w:eastAsia="en-US"/>
        </w:rPr>
        <mc:AlternateContent>
          <mc:Choice Requires="wps">
            <w:drawing>
              <wp:anchor behindDoc="0" distT="0" distB="0" distL="114935" distR="114935" simplePos="0" locked="0" layoutInCell="1" allowOverlap="1" relativeHeight="4">
                <wp:simplePos x="0" y="0"/>
                <wp:positionH relativeFrom="column">
                  <wp:posOffset>2090420</wp:posOffset>
                </wp:positionH>
                <wp:positionV relativeFrom="paragraph">
                  <wp:posOffset>67945</wp:posOffset>
                </wp:positionV>
                <wp:extent cx="1972945" cy="0"/>
                <wp:effectExtent l="0" t="5080" r="0" b="5080"/>
                <wp:wrapNone/>
                <wp:docPr id="3" name="Line 4"/>
                <a:graphic xmlns:a="http://schemas.openxmlformats.org/drawingml/2006/main">
                  <a:graphicData uri="http://schemas.microsoft.com/office/word/2010/wordprocessingShape">
                    <wps:wsp>
                      <wps:cNvSpPr/>
                      <wps:spPr>
                        <a:xfrm>
                          <a:off x="0" y="0"/>
                          <a:ext cx="1972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4.6pt,5.35pt" to="319.9pt,5.35pt" ID="Line 4" stroked="t" o:allowincell="f" style="position:absolute">
                <v:stroke color="black" weight="9360" joinstyle="miter" endcap="flat"/>
                <v:fill o:detectmouseclick="t" on="false"/>
                <w10:wrap type="none"/>
              </v:line>
            </w:pict>
          </mc:Fallback>
        </mc:AlternateContent>
      </w:r>
    </w:p>
    <w:p>
      <w:pPr>
        <w:pStyle w:val="Normal"/>
        <w:spacing w:before="120" w:after="0"/>
        <w:jc w:val="both"/>
        <w:rPr>
          <w:rFonts w:ascii="Times New Roman" w:hAnsi="Times New Roman" w:cs="Times New Roman"/>
          <w:color w:val="000000"/>
          <w:sz w:val="10"/>
        </w:rPr>
      </w:pPr>
      <w:r>
        <w:rPr>
          <w:rFonts w:cs="Times New Roman" w:ascii="Times New Roman" w:hAnsi="Times New Roman"/>
          <w:color w:val="000000"/>
          <w:sz w:val="20"/>
        </w:rPr>
        <w:tab/>
      </w:r>
    </w:p>
    <w:p>
      <w:pPr>
        <w:pStyle w:val="Normal"/>
        <w:spacing w:before="120" w:after="0"/>
        <w:jc w:val="center"/>
        <w:rPr>
          <w:rFonts w:ascii="Times New Roman" w:hAnsi="Times New Roman" w:cs="Times New Roman"/>
          <w:bCs/>
          <w:color w:val="000000"/>
        </w:rPr>
      </w:pPr>
      <w:r>
        <w:rPr>
          <w:rFonts w:cs="Times New Roman" w:ascii="Times New Roman" w:hAnsi="Times New Roman"/>
          <w:bCs/>
          <w:color w:val="000000"/>
        </w:rPr>
        <w:t>Kính gửi: Bộ Công Thương</w:t>
      </w:r>
    </w:p>
    <w:p>
      <w:pPr>
        <w:pStyle w:val="Normal"/>
        <w:spacing w:before="120" w:after="0"/>
        <w:ind w:firstLine="567" w:end="0"/>
        <w:jc w:val="center"/>
        <w:rPr>
          <w:rFonts w:ascii="Times New Roman" w:hAnsi="Times New Roman" w:cs="Times New Roman"/>
          <w:bCs/>
          <w:color w:val="000000"/>
        </w:rPr>
      </w:pPr>
      <w:r>
        <w:rPr>
          <w:rFonts w:cs="Times New Roman" w:ascii="Times New Roman" w:hAnsi="Times New Roman"/>
          <w:bCs/>
          <w:color w:val="000000"/>
        </w:rPr>
      </w:r>
    </w:p>
    <w:p>
      <w:pPr>
        <w:pStyle w:val="Normal"/>
        <w:spacing w:lineRule="exact" w:line="360" w:before="120" w:after="0"/>
        <w:ind w:firstLine="720" w:end="0"/>
        <w:jc w:val="both"/>
        <w:rPr>
          <w:rFonts w:ascii="Times New Roman" w:hAnsi="Times New Roman" w:cs="Times New Roman"/>
          <w:bCs/>
          <w:color w:val="000000"/>
          <w:lang w:val="en-US"/>
        </w:rPr>
      </w:pPr>
      <w:r>
        <w:rPr>
          <w:rFonts w:cs="Times New Roman" w:ascii="Times New Roman" w:hAnsi="Times New Roman"/>
          <w:bCs/>
          <w:color w:val="000000"/>
          <w:lang w:val="en-US"/>
        </w:rPr>
        <w:t xml:space="preserve">Thực hiện Công văn số </w:t>
      </w:r>
      <w:r>
        <w:rPr>
          <w:rFonts w:cs="Times New Roman" w:ascii="Times New Roman" w:hAnsi="Times New Roman"/>
          <w:bCs/>
          <w:color w:val="000000"/>
        </w:rPr>
        <w:t xml:space="preserve">81/UBND-KT ngày 06/01/2026 của Ủy ban nhân dân tỉnh Lào Cai </w:t>
      </w:r>
      <w:r>
        <w:rPr>
          <w:rFonts w:cs="Times New Roman" w:ascii="Times New Roman" w:hAnsi="Times New Roman"/>
          <w:iCs/>
          <w:color w:val="000000"/>
          <w:lang w:val="en-US" w:eastAsia="en-US"/>
        </w:rPr>
        <w:t xml:space="preserve">và Công văn số </w:t>
      </w:r>
      <w:r>
        <w:rPr>
          <w:rFonts w:cs="Times New Roman" w:ascii="Times New Roman" w:hAnsi="Times New Roman"/>
          <w:bCs/>
          <w:color w:val="000000"/>
        </w:rPr>
        <w:t xml:space="preserve">10370/BCT-HC ngày 31/12/2025 </w:t>
      </w:r>
      <w:r>
        <w:rPr>
          <w:rFonts w:cs="Times New Roman" w:ascii="Times New Roman" w:hAnsi="Times New Roman"/>
          <w:color w:val="000000"/>
        </w:rPr>
        <w:t xml:space="preserve">của Bộ Công Thương </w:t>
      </w:r>
      <w:r>
        <w:rPr>
          <w:rFonts w:cs="Times New Roman" w:ascii="Times New Roman" w:hAnsi="Times New Roman"/>
          <w:bCs/>
          <w:color w:val="000000"/>
        </w:rPr>
        <w:t>về việc báo cáo,</w:t>
      </w:r>
      <w:r>
        <w:rPr>
          <w:rFonts w:cs="Times New Roman" w:ascii="Times New Roman" w:hAnsi="Times New Roman"/>
          <w:iCs/>
          <w:color w:val="000000"/>
          <w:lang w:val="en-US" w:eastAsia="en-US"/>
        </w:rPr>
        <w:t xml:space="preserve"> cung cấp thông tin triển khai thực hiện Chiến lược phát triển ngành công nghiệp hóa chất Việt Nam đến năm 2030, tầm nhìn đến năm 2040.</w:t>
      </w:r>
      <w:r>
        <w:rPr>
          <w:rFonts w:cs="Times New Roman" w:ascii="Times New Roman" w:hAnsi="Times New Roman"/>
          <w:bCs/>
          <w:color w:val="000000"/>
        </w:rPr>
        <w:t xml:space="preserve"> </w:t>
      </w:r>
      <w:r>
        <w:rPr>
          <w:rFonts w:cs="Times New Roman" w:ascii="Times New Roman" w:hAnsi="Times New Roman"/>
          <w:color w:val="000000"/>
        </w:rPr>
        <w:t>Sở Công Thương báo cáo kết quả như sau:</w:t>
      </w:r>
    </w:p>
    <w:p>
      <w:pPr>
        <w:pStyle w:val="Normal"/>
        <w:spacing w:lineRule="exact" w:line="360" w:before="120" w:after="0"/>
        <w:ind w:firstLine="720" w:end="0"/>
        <w:jc w:val="both"/>
        <w:rPr>
          <w:rFonts w:ascii="Times New Roman" w:hAnsi="Times New Roman" w:cs="Times New Roman"/>
          <w:b/>
          <w:bCs/>
          <w:color w:val="000000"/>
        </w:rPr>
      </w:pPr>
      <w:r>
        <w:rPr>
          <w:rFonts w:cs="Times New Roman" w:ascii="Times New Roman" w:hAnsi="Times New Roman"/>
          <w:b/>
          <w:bCs/>
          <w:color w:val="000000"/>
        </w:rPr>
        <w:t xml:space="preserve">1. Tình hình thực hiện Chiến lược hóa chất </w:t>
      </w:r>
    </w:p>
    <w:p>
      <w:pPr>
        <w:pStyle w:val="Normal"/>
        <w:widowControl w:val="false"/>
        <w:suppressAutoHyphens w:val="false"/>
        <w:spacing w:lineRule="exact" w:line="360" w:before="120" w:after="0"/>
        <w:ind w:firstLine="720" w:end="0"/>
        <w:jc w:val="both"/>
        <w:rPr>
          <w:rFonts w:ascii="Times New Roman" w:hAnsi="Times New Roman" w:cs="Times New Roman"/>
          <w:color w:val="000000"/>
        </w:rPr>
      </w:pPr>
      <w:r>
        <w:rPr>
          <w:rFonts w:cs="Times New Roman" w:ascii="Times New Roman" w:hAnsi="Times New Roman"/>
          <w:color w:val="000000"/>
          <w:lang w:eastAsia="en-US"/>
        </w:rPr>
        <w:t>Ngay sau khi Thủ tướng Chính phủ phê duyệt Chiến lược phát triển ngành Công nghiệp hóa chất Việt Nam đến năm 2030, tầm nhìn đến năm 2040 tại Quyết định số 726/QĐ-TTg ngày 16 tháng 6 năm 2022, Ủy ban nhân dân tỉnh Lào Cai đã ban hành văn bản số 2702/UBND-KT ngày 17/6/2022 chỉ đạo Sở Công Thương chủ trì phối hợp các Sở, ban, ngành liên quan tham mưu triển khai thực hiện Chiến lược trên địa bàn tỉnh. Đồng thời khi xem xét, chấp thuận chủ trương đầu tư các dự án lĩnh vực hóa chất, Ủy ban nhân dân tỉnh Lào Cai luôn thực hiện việc lấy ý kiến của Bộ Công Thương về sự phù hợp của dự án với Chiến lược phát triển ngành. Công tác phối hợp quản lý hoạt động sản xuất, kinh doanh của đơn vị luôn được các Sở, ngành, địa phương trên địa bàn tỉnh quan tâm đúng mức, thường xuyên tổ chức tuyên truyền đôn đốc tăng cường công tác rà soát, lập danh sách, nắm thông tin các cơ sở có hoạt động sản xuất, kinh doanh, tồn trữ, sử dụng hóa chất để quản lý theo quy định, trong đó đặc biệt chú trọng các loại hóa chất nằm trong danh sách hóa chất cấm, hóa chất hạn chế và hóa chất có điều kiện. Năm 2025, Sở Công Thương đã b</w:t>
      </w:r>
      <w:r>
        <w:rPr>
          <w:rFonts w:cs="Times New Roman" w:ascii="Times New Roman" w:hAnsi="Times New Roman"/>
          <w:color w:val="000000"/>
        </w:rPr>
        <w:t>an hành Văn bản số 1018/SCT-KTATMT ngày 10/4/2025 về việc yêu cầu đơn vị tăng cường công tác quản lý an toàn hóa chất, Văn bản số 2854/SCT-CN ngày 03/12/2025 về việc triển khai thực hiện Chỉ thị số 17/CT-BCT của Bộ Công Thương tăng cường công tác quản lý, kiểm soát hóa chất cần kiểm soát đặc biệt và các hóa chất nguy hiểm khác.</w:t>
      </w:r>
      <w:r>
        <w:rPr>
          <w:rFonts w:cs="Times New Roman" w:ascii="Times New Roman" w:hAnsi="Times New Roman"/>
          <w:color w:val="000000"/>
          <w:lang w:eastAsia="en-US"/>
        </w:rPr>
        <w:t xml:space="preserve"> </w:t>
      </w:r>
      <w:r>
        <w:rPr>
          <w:rFonts w:cs="Times New Roman" w:ascii="Times New Roman" w:hAnsi="Times New Roman"/>
          <w:color w:val="000000"/>
        </w:rPr>
        <w:t>Tổ chức kiểm tra việc thực hiện công tác phòng ngừa ứng phó sự cố hóa chất 07 đơn vị trên địa bàn tỉnh. Qua kiểm tra, nhìn chung các đơn vị đã triển khai thực hiện các nội dung về quản lý an toàn trong hoạt động hóa chất theo quy định của Luật Hóa chất, Nghị định số 82/2022/NĐ-CP ngày 08/10/2022 của Chính phủ và các quy định khác có liên quan. Thông qua hoạt động kiểm tra đã phổ biến, tuyên truyền các quy định về quản lý an toàn trong hoạt động hóa chất, góp phần nâng cao nhận thức của các đơn vị trong việc chấp hành các quy định của pháp luật về quản lý hóa chất.</w:t>
      </w:r>
    </w:p>
    <w:p>
      <w:pPr>
        <w:pStyle w:val="Normal"/>
        <w:widowControl w:val="false"/>
        <w:suppressAutoHyphens w:val="false"/>
        <w:spacing w:lineRule="exact" w:line="360" w:before="120" w:after="0"/>
        <w:ind w:firstLine="720" w:end="0"/>
        <w:jc w:val="both"/>
        <w:rPr>
          <w:rFonts w:ascii="Times New Roman" w:hAnsi="Times New Roman" w:cs="Times New Roman"/>
          <w:color w:val="000000"/>
          <w:lang w:eastAsia="en-US"/>
        </w:rPr>
      </w:pPr>
      <w:r>
        <w:rPr>
          <w:rFonts w:cs="Times New Roman" w:ascii="Times New Roman" w:hAnsi="Times New Roman"/>
          <w:color w:val="000000"/>
        </w:rPr>
        <w:t>Tuy nhiên, trong quá trình thực hiện Chiến lược phát triển ngành hóa chất Việt Nam đến năm 2030, tầm nhìn đến năm 2040 nhận thấy nội dung Chiến lược chưa có quy định, định hướng cụ thể về phát triển ngành công nghiệp hóa chất đối với từng vùng, từng địa phương. Bên cạnh đó, việc đầu tư, xây dựng các địa điểm sản xuất, kho chứa hóa chất nguy hiểm phải đảm bảo khoảng cách an toàn đối với khu dân cư, công trình công cộng, khu di tích lịch sử, văn hóa, danh lam thắng cảnh, khu bảo tồn đa dạng sinh học, nguồn nước sinh hoạt quy định tại Điều 22, Luật Hóa chất 2007. Đến nay Luật Hóa chất số 69/2025/QH15 có hiệu lực từ ngày 01/01/2026. Tuy nhiên, hiện nay chưa có hướng dẫn cụ thể về khoảng cách an toàn đối với cơ sở sản xuất, kinh doanh, sử dụng hóa chất nguy hiểm. Do đó, gặp khó khăn trong quá trình triển khai Chiến lược phát triển ngành hóa chất Việt Nam đến năm 2030, tầm nhìn 2040.</w:t>
      </w:r>
    </w:p>
    <w:p>
      <w:pPr>
        <w:pStyle w:val="Normal"/>
        <w:spacing w:lineRule="exact" w:line="360" w:before="120" w:after="0"/>
        <w:ind w:firstLine="720" w:end="0"/>
        <w:jc w:val="both"/>
        <w:rPr>
          <w:rFonts w:ascii="Times New Roman" w:hAnsi="Times New Roman" w:cs="Times New Roman"/>
          <w:color w:val="000000"/>
        </w:rPr>
      </w:pPr>
      <w:r>
        <w:rPr>
          <w:rFonts w:cs="Times New Roman" w:ascii="Times New Roman" w:hAnsi="Times New Roman"/>
          <w:b/>
          <w:bCs/>
          <w:iCs/>
          <w:color w:val="000000"/>
        </w:rPr>
        <w:t xml:space="preserve">2. Các dự án, công trình công nghiệp hóa chất đã/đang triển khai trên địa bàn trong giai đoạn 2022 đến hết năm 2025: </w:t>
      </w:r>
      <w:r>
        <w:rPr>
          <w:rFonts w:cs="Times New Roman" w:ascii="Times New Roman" w:hAnsi="Times New Roman"/>
          <w:iCs/>
          <w:color w:val="000000"/>
        </w:rPr>
        <w:t>theo phụ lục đính kèm.</w:t>
      </w:r>
    </w:p>
    <w:p>
      <w:pPr>
        <w:pStyle w:val="Normal"/>
        <w:spacing w:lineRule="exact" w:line="360" w:before="120" w:after="0"/>
        <w:ind w:firstLine="720" w:end="0"/>
        <w:jc w:val="both"/>
        <w:rPr>
          <w:rFonts w:ascii="Times New Roman" w:hAnsi="Times New Roman" w:cs="Times New Roman"/>
          <w:b/>
          <w:iCs/>
          <w:color w:val="000000"/>
        </w:rPr>
      </w:pPr>
      <w:r>
        <w:rPr>
          <w:rFonts w:cs="Times New Roman" w:ascii="Times New Roman" w:hAnsi="Times New Roman"/>
          <w:b/>
          <w:iCs/>
          <w:color w:val="000000"/>
        </w:rPr>
        <w:t xml:space="preserve">3. Xây dựng, triển khai đầu tư xây dựng khu công nghiệp hóa chất tập trung </w:t>
      </w:r>
    </w:p>
    <w:p>
      <w:pPr>
        <w:pStyle w:val="Normal"/>
        <w:spacing w:lineRule="exact" w:line="360" w:before="120" w:after="0"/>
        <w:ind w:firstLine="720" w:end="0"/>
        <w:jc w:val="both"/>
        <w:rPr>
          <w:rFonts w:ascii="Times New Roman" w:hAnsi="Times New Roman" w:cs="Times New Roman"/>
          <w:color w:val="000000"/>
        </w:rPr>
      </w:pPr>
      <w:r>
        <w:rPr>
          <w:rFonts w:cs="Times New Roman" w:ascii="Times New Roman" w:hAnsi="Times New Roman"/>
          <w:color w:val="000000"/>
        </w:rPr>
        <w:t>Theo phương án phát triển cụm công nghiệp thời kỳ 2021-2030, tầm nhìn đến năm 2050 đã được Thủ tướng Chính phủ phê duyệt tích hợp trong Quy hoạch tỉnh Lào Cai, Yên Bái trước đây, toàn tỉnh Lào Cai (mới) có 07 khu công nghiệp và 22 cụm công nghiệp đã và đang thực hiện mời gọi các nhà đầu tư. Trong đó, Khu công nghiệp (KCN) Tằng Loỏng được hình thành trên cơ sở tiền thân là Nhà máy tuyển quặng Apatit Tằng Loỏng thuộc Công ty TNHH MTV Apatit Việt Nam. Trải qua quá trình phát triển từ những năm 1970, đến năm 2009 KCN Tằng Loỏng được Thủ tướng Chính phủ bổ sung vào quy hoạch phát triển các khu công nghiệp ở Việt Nam và chính thức được thành lập theo Quyết định của UBND tỉnh Lào Cai năm 2011, với định hướng thu hút đầu tư chủ yếu vào các ngành công nghiệp nặng như hóa chất, phân bón và luyện kim. KCN Tằng Loỏng được xác định là một trong những khu công nghiệp trọng điểm quốc gia về tuyển khoáng, luyện kim, sản xuất phân bón và hóa chất. Hiện nay, tỉnh Lào Cai đang trong quá trình xây dựng đề án chuyển đổi KCN Tằng Loỏng sang mô hình KCN sinh thái, lấy hiệu quả sử dụng tài nguyên, kinh tế tuần hoàn (KTTH) và cộng sinh công nghiệp (CSCN) làm nền tảng; chuyển đổi mô hình tăng trưởng từ “truyền thống” sang phát triển bền vững, bảo đảm hài hòa mục tiêu kinh tế - môi trường - xã hội.</w:t>
      </w:r>
      <w:r>
        <w:rPr>
          <w:rFonts w:cs="Times New Roman" w:ascii="Times New Roman" w:hAnsi="Times New Roman"/>
        </w:rPr>
        <w:t xml:space="preserve"> </w:t>
      </w:r>
      <w:r>
        <w:rPr>
          <w:rFonts w:cs="Times New Roman" w:ascii="Times New Roman" w:hAnsi="Times New Roman"/>
          <w:color w:val="000000"/>
        </w:rPr>
        <w:t>Quá trình phát triển và chuyển đổi gắn với áp dụng công nghệ hiện đại, công nghệ sạch và đổi mới sáng tạo, sử dụng hiệu quả, tiết kiệm tài nguyên, giảm phát thải, tuân thủ pháp luật.</w:t>
      </w:r>
    </w:p>
    <w:p>
      <w:pPr>
        <w:pStyle w:val="Normal"/>
        <w:spacing w:lineRule="exact" w:line="360" w:before="120" w:after="0"/>
        <w:ind w:firstLine="720" w:end="0"/>
        <w:jc w:val="both"/>
        <w:rPr/>
      </w:pPr>
      <w:r>
        <w:rPr>
          <w:rFonts w:cs="Times New Roman" w:ascii="Times New Roman" w:hAnsi="Times New Roman"/>
          <w:b/>
          <w:iCs/>
          <w:color w:val="000000"/>
        </w:rPr>
        <w:t xml:space="preserve">4. Quy hoạch của địa phương và việc tích hợp, lồng ghép nội dung và yêu cầu của Chiến lược hóa chất vào Quy hoạch địa phương (trước và sau sát nhập/điều chỉnh địa giới hành chính) </w:t>
      </w:r>
    </w:p>
    <w:p>
      <w:pPr>
        <w:pStyle w:val="Normal"/>
        <w:spacing w:lineRule="exact" w:line="360" w:before="120" w:after="0"/>
        <w:ind w:firstLine="720" w:end="0"/>
        <w:jc w:val="both"/>
        <w:rPr/>
      </w:pPr>
      <w:r>
        <w:rPr>
          <w:rFonts w:cs="Times New Roman" w:ascii="Times New Roman" w:hAnsi="Times New Roman"/>
          <w:color w:val="000000"/>
        </w:rPr>
        <w:t xml:space="preserve">Hiện nay, tỉnh Lào Cai hiện đang tổ chức điều chỉnh Quy hoạch tỉnh thời kỳ 2021-2030, tầm nhìn đến năm 2050. </w:t>
      </w:r>
      <w:r>
        <w:rPr>
          <w:rStyle w:val="fontstyle21"/>
          <w:rFonts w:cs="Times New Roman" w:ascii="Times New Roman" w:hAnsi="Times New Roman"/>
          <w:color w:val="000000"/>
        </w:rPr>
        <w:t xml:space="preserve">Ủy ban nhân dân tỉnh giao Sở Tài chính phối hợp với đơn vị tư vấn làm việc trực tiếp với các Sở, ban, ngành tỉnh về nội dung điều chỉnh các phương án tích hợp vào Quy hoạch tỉnh Lào Cai thời kỳ 2021 - 2030, tầm nhìn đến năm 2050. </w:t>
      </w:r>
      <w:r>
        <w:rPr>
          <w:rFonts w:cs="Times New Roman" w:ascii="Times New Roman" w:hAnsi="Times New Roman"/>
          <w:color w:val="000000"/>
        </w:rPr>
        <w:t>Nội dung Chiến lược phát triển ngành công nghiệp hóa chất Việt Nam đến năm 2030, tầm nhìn đến năm 2040 đã và đang được tỉnh Lào Cai quan tâm tích hợp, lồng ghép trong Quy hoạch tỉnh thời kỳ 2021 - 2030, tầm nhìn đến năm 2050, bảo đảm phù hợp với định hướng phát triển kinh tế - xã hội của địa phương.</w:t>
      </w:r>
    </w:p>
    <w:p>
      <w:pPr>
        <w:pStyle w:val="Normal"/>
        <w:spacing w:lineRule="exact" w:line="360" w:before="120" w:after="0"/>
        <w:ind w:firstLine="720" w:end="0"/>
        <w:jc w:val="both"/>
        <w:rPr>
          <w:rFonts w:ascii="Times New Roman" w:hAnsi="Times New Roman" w:cs="Times New Roman"/>
          <w:b/>
          <w:iCs/>
          <w:color w:val="000000"/>
        </w:rPr>
      </w:pPr>
      <w:r>
        <w:rPr>
          <w:rFonts w:cs="Times New Roman" w:ascii="Times New Roman" w:hAnsi="Times New Roman"/>
          <w:b/>
          <w:iCs/>
          <w:color w:val="000000"/>
        </w:rPr>
        <w:t>5. Định hướng phát triển công nghiệp hóa chất tại địa phương trong 5 - 10 năm tới; định hướng ưu tiên phát triển</w:t>
      </w:r>
    </w:p>
    <w:p>
      <w:pPr>
        <w:pStyle w:val="Normal"/>
        <w:spacing w:lineRule="exact" w:line="360" w:before="120" w:after="0"/>
        <w:ind w:firstLine="720" w:end="0"/>
        <w:jc w:val="both"/>
        <w:rPr>
          <w:rFonts w:ascii="Times New Roman" w:hAnsi="Times New Roman" w:cs="Times New Roman"/>
          <w:color w:val="000000"/>
        </w:rPr>
      </w:pPr>
      <w:r>
        <w:rPr>
          <w:rFonts w:eastAsia="Calibri" w:cs="Times New Roman" w:ascii="Times New Roman" w:hAnsi="Times New Roman"/>
          <w:color w:val="000000"/>
          <w:kern w:val="2"/>
          <w:lang w:eastAsia="en-US"/>
        </w:rPr>
        <w:t>Theo đề án 08 phát triển công nghiệp tỉnh Lào Cai theo hướng xanh, hiện đại giai đoạn 2026-2030 được ban hành kèm theo Nghị quyết số 35/NQ-TU ngày 29/12/2025 của Tỉnh ủy Lào Cai xác định định hướng, mục tiêu tổng quát cụ thể như sau: Phát triển công nghiệp theo mô hình tăng trưởng mới xanh, hiện đại và giá trị gia tăng cao. Tập trung vào công nghiệp chế biến sâu khoáng sản (luyện kim, hóa chất), vật liệu, công nghiệp phụ trợ, chế biến nông lâm sản, đồng thời giảm dần tỷ trọng ngành công nghiệp khai khoáng. Việc phát triển công nghiệp phải gắn liền với áp dụng công nghệ hiện đại, tiên tiến, tiết kiệm tài nguyên và năng lượng; đảm bảo tuân thủ các quy định của pháp luật.</w:t>
      </w:r>
    </w:p>
    <w:p>
      <w:pPr>
        <w:pStyle w:val="Normal"/>
        <w:suppressAutoHyphens w:val="false"/>
        <w:spacing w:lineRule="exact" w:line="360" w:before="120" w:after="0"/>
        <w:ind w:firstLine="720" w:end="0"/>
        <w:jc w:val="both"/>
        <w:rPr/>
      </w:pPr>
      <w:r>
        <w:rPr>
          <w:rFonts w:cs="Times New Roman" w:ascii="Times New Roman" w:hAnsi="Times New Roman"/>
          <w:b/>
          <w:color w:val="000000"/>
          <w:lang w:eastAsia="en-US"/>
        </w:rPr>
        <w:t xml:space="preserve">6. </w:t>
      </w:r>
      <w:r>
        <w:rPr>
          <w:rFonts w:cs="Times New Roman" w:ascii="Times New Roman" w:hAnsi="Times New Roman"/>
          <w:b/>
          <w:bCs/>
          <w:color w:val="000000"/>
          <w:lang w:eastAsia="en-US"/>
        </w:rPr>
        <w:t>Kiến nghị</w:t>
      </w:r>
    </w:p>
    <w:p>
      <w:pPr>
        <w:pStyle w:val="Normal"/>
        <w:suppressAutoHyphens w:val="false"/>
        <w:spacing w:lineRule="exact" w:line="360" w:before="120" w:after="0"/>
        <w:ind w:firstLine="720" w:end="0"/>
        <w:jc w:val="both"/>
        <w:rPr>
          <w:rFonts w:ascii="Times New Roman" w:hAnsi="Times New Roman" w:cs="Times New Roman"/>
          <w:color w:val="000000"/>
          <w:lang w:eastAsia="en-US"/>
        </w:rPr>
      </w:pPr>
      <w:r>
        <w:rPr>
          <w:rFonts w:cs="Times New Roman" w:ascii="Times New Roman" w:hAnsi="Times New Roman"/>
          <w:color w:val="000000"/>
          <w:lang w:eastAsia="en-US"/>
        </w:rPr>
        <w:t>Để triển khai thực hiện Chiến lược phát triển ngành Hóa chất Việt Nam đến năm 2030, tầm nhìn đến năm 2040 đảm bảo hiệu quả và phát huy được tiềm năng, thế mạnh của tỉnh Lào Cai, Sở Công Thương đề xuất Bộ Công Thương một số nội dung như sau:</w:t>
      </w:r>
    </w:p>
    <w:p>
      <w:pPr>
        <w:pStyle w:val="Normal"/>
        <w:suppressAutoHyphens w:val="false"/>
        <w:spacing w:lineRule="exact" w:line="360" w:before="120" w:after="0"/>
        <w:ind w:firstLine="720" w:end="0"/>
        <w:jc w:val="both"/>
        <w:rPr/>
      </w:pPr>
      <w:r>
        <w:rPr>
          <w:rFonts w:cs="Times New Roman" w:ascii="Times New Roman" w:hAnsi="Times New Roman"/>
          <w:color w:val="000000"/>
          <w:lang w:eastAsia="en-US"/>
        </w:rPr>
        <w:t xml:space="preserve">- Tiếp tục hướng dẫn, hỗ trợ địa phương trong việc </w:t>
      </w:r>
      <w:r>
        <w:rPr>
          <w:rFonts w:cs="Times New Roman" w:ascii="Times New Roman" w:hAnsi="Times New Roman"/>
          <w:bCs/>
          <w:color w:val="000000"/>
          <w:lang w:eastAsia="en-US"/>
        </w:rPr>
        <w:t>định hướng phát triển các phân ngành công nghiệp hóa chất phù hợp điều kiện thực tế</w:t>
      </w:r>
      <w:r>
        <w:rPr>
          <w:rFonts w:cs="Times New Roman" w:ascii="Times New Roman" w:hAnsi="Times New Roman"/>
          <w:color w:val="000000"/>
          <w:lang w:eastAsia="en-US"/>
        </w:rPr>
        <w:t>, nhất là trong công tác quy hoạch, thu hút đầu tư và lựa chọn công nghệ.</w:t>
      </w:r>
    </w:p>
    <w:p>
      <w:pPr>
        <w:pStyle w:val="Normal"/>
        <w:suppressAutoHyphens w:val="false"/>
        <w:spacing w:lineRule="exact" w:line="360" w:before="120" w:after="0"/>
        <w:ind w:firstLine="720" w:end="0"/>
        <w:jc w:val="both"/>
        <w:rPr>
          <w:rFonts w:ascii="Times New Roman" w:hAnsi="Times New Roman" w:cs="Times New Roman"/>
          <w:color w:val="000000"/>
          <w:lang w:eastAsia="en-US"/>
        </w:rPr>
      </w:pPr>
      <w:r>
        <w:rPr>
          <w:rFonts w:cs="Times New Roman" w:ascii="Times New Roman" w:hAnsi="Times New Roman"/>
          <w:color w:val="000000"/>
          <w:lang w:eastAsia="en-US"/>
        </w:rPr>
        <w:t>- Ban hành Kế hoạch triển khai, thực hiện Chiến lược phát triển ngành Hóa chất Việt Nam đến năm 2030, tầm nhìn 2040 trong đó cụ thể hóa các định hướng phát triển hóa chất theo từng vùng làm căn cứ triển khai Chiến lược phát triển ngành hóa chất và bố trí quỹ đất phù hợp tại địa phương.</w:t>
      </w:r>
    </w:p>
    <w:p>
      <w:pPr>
        <w:pStyle w:val="Normal"/>
        <w:suppressAutoHyphens w:val="false"/>
        <w:spacing w:lineRule="exact" w:line="360" w:before="120" w:after="0"/>
        <w:ind w:firstLine="720" w:end="0"/>
        <w:jc w:val="both"/>
        <w:rPr>
          <w:rFonts w:ascii="Times New Roman" w:hAnsi="Times New Roman" w:cs="Times New Roman"/>
          <w:color w:val="000000"/>
          <w:lang w:eastAsia="en-US"/>
        </w:rPr>
      </w:pPr>
      <w:r>
        <w:rPr>
          <w:rFonts w:cs="Times New Roman" w:ascii="Times New Roman" w:hAnsi="Times New Roman"/>
          <w:color w:val="000000"/>
          <w:lang w:eastAsia="en-US"/>
        </w:rPr>
        <w:t>- Có văn bản quy định, hướng dẫn xác định khoảng cách an toàn đối với các khu công nghiệp hóa chất tập trung, các trung tâm logictic, các dự án sản xuất, lưu chứa hóa chất.</w:t>
      </w:r>
    </w:p>
    <w:p>
      <w:pPr>
        <w:pStyle w:val="Normal"/>
        <w:suppressAutoHyphens w:val="false"/>
        <w:spacing w:lineRule="exact" w:line="360" w:before="120" w:after="0"/>
        <w:ind w:firstLine="720" w:end="0"/>
        <w:jc w:val="both"/>
        <w:rPr/>
      </w:pPr>
      <w:r>
        <w:rPr>
          <w:rFonts w:cs="Times New Roman" w:ascii="Times New Roman" w:hAnsi="Times New Roman"/>
          <w:color w:val="000000"/>
          <w:lang w:eastAsia="en-US"/>
        </w:rPr>
        <w:t xml:space="preserve">- Tăng cường các chương trình </w:t>
      </w:r>
      <w:r>
        <w:rPr>
          <w:rFonts w:cs="Times New Roman" w:ascii="Times New Roman" w:hAnsi="Times New Roman"/>
          <w:bCs/>
          <w:color w:val="000000"/>
          <w:lang w:eastAsia="en-US"/>
        </w:rPr>
        <w:t>đào tạo, bồi dưỡng nguồn nhân lực</w:t>
      </w:r>
      <w:r>
        <w:rPr>
          <w:rFonts w:cs="Times New Roman" w:ascii="Times New Roman" w:hAnsi="Times New Roman"/>
          <w:color w:val="000000"/>
          <w:lang w:eastAsia="en-US"/>
        </w:rPr>
        <w:t>, chuyển giao công nghệ, hỗ trợ doanh nghiệp đổi mới công nghệ trong lĩnh vực công nghiệp hóa chất, đặc biệt là đối với doanh nghiệp vừa và nhỏ.</w:t>
        <w:tab/>
      </w:r>
    </w:p>
    <w:p>
      <w:pPr>
        <w:pStyle w:val="Normal"/>
        <w:spacing w:lineRule="exact" w:line="360" w:before="120" w:after="0"/>
        <w:ind w:firstLine="720" w:end="0"/>
        <w:jc w:val="both"/>
        <w:rPr>
          <w:rFonts w:ascii="Times New Roman" w:hAnsi="Times New Roman" w:cs="Times New Roman"/>
          <w:color w:val="000000"/>
        </w:rPr>
      </w:pPr>
      <w:r>
        <w:rPr>
          <w:rFonts w:cs="Times New Roman" w:ascii="Times New Roman" w:hAnsi="Times New Roman"/>
          <w:color w:val="000000"/>
        </w:rPr>
        <w:t>Trên đây là báo cáo kết quả triển khai Chiến lược phát triển ngành công nghiệp hóa chất Việt Nam đến năm 2030, tầm nhìn đến năm 2040 trên địa bàn tỉnh Lào Cai, Sở Công Thương báo cáo Bộ Công Thương nghiên cứu, xem xét./.</w:t>
      </w:r>
    </w:p>
    <w:p>
      <w:pPr>
        <w:pStyle w:val="Normal"/>
        <w:spacing w:before="120" w:after="0"/>
        <w:jc w:val="both"/>
        <w:rPr>
          <w:rFonts w:ascii="Times New Roman" w:hAnsi="Times New Roman" w:cs="Times New Roman"/>
          <w:color w:val="000000"/>
          <w:sz w:val="10"/>
        </w:rPr>
      </w:pPr>
      <w:r>
        <w:rPr>
          <w:rFonts w:cs="Times New Roman" w:ascii="Times New Roman" w:hAnsi="Times New Roman"/>
          <w:color w:val="000000"/>
          <w:sz w:val="10"/>
        </w:rPr>
      </w:r>
    </w:p>
    <w:p>
      <w:pPr>
        <w:pStyle w:val="Normal"/>
        <w:keepNext w:val="true"/>
        <w:numPr>
          <w:ilvl w:val="0"/>
          <w:numId w:val="0"/>
        </w:numPr>
        <w:spacing w:before="80" w:after="0"/>
        <w:ind w:firstLine="567" w:end="0"/>
        <w:jc w:val="both"/>
        <w:outlineLvl w:val="2"/>
        <w:rPr>
          <w:rFonts w:ascii="Times New Roman" w:hAnsi="Times New Roman" w:cs="Times New Roman"/>
          <w:color w:val="000000"/>
          <w:sz w:val="2"/>
          <w:lang w:val="pt-BR"/>
        </w:rPr>
      </w:pPr>
      <w:r>
        <w:rPr>
          <w:rFonts w:cs="Times New Roman" w:ascii="Times New Roman" w:hAnsi="Times New Roman"/>
          <w:color w:val="000000"/>
          <w:sz w:val="2"/>
          <w:lang w:val="pt-BR"/>
        </w:rPr>
      </w:r>
    </w:p>
    <w:tbl>
      <w:tblPr>
        <w:tblW w:w="9513" w:type="dxa"/>
        <w:jc w:val="start"/>
        <w:tblInd w:w="108" w:type="dxa"/>
        <w:tblLayout w:type="fixed"/>
        <w:tblCellMar>
          <w:top w:w="0" w:type="dxa"/>
          <w:start w:w="108" w:type="dxa"/>
          <w:bottom w:w="0" w:type="dxa"/>
          <w:end w:w="108" w:type="dxa"/>
        </w:tblCellMar>
      </w:tblPr>
      <w:tblGrid>
        <w:gridCol w:w="4996"/>
        <w:gridCol w:w="4517"/>
      </w:tblGrid>
      <w:tr>
        <w:trPr>
          <w:trHeight w:val="2565" w:hRule="atLeast"/>
        </w:trPr>
        <w:tc>
          <w:tcPr>
            <w:tcW w:w="4996" w:type="dxa"/>
            <w:tcBorders/>
          </w:tcPr>
          <w:p>
            <w:pPr>
              <w:pStyle w:val="Normal"/>
              <w:jc w:val="both"/>
              <w:rPr>
                <w:rFonts w:ascii="Times New Roman" w:hAnsi="Times New Roman" w:cs="Times New Roman"/>
                <w:color w:val="000000"/>
                <w:sz w:val="22"/>
                <w:szCs w:val="22"/>
                <w:lang w:val="en-US"/>
              </w:rPr>
            </w:pPr>
            <w:r>
              <w:rPr>
                <w:rFonts w:cs="Times New Roman" w:ascii="Times New Roman" w:hAnsi="Times New Roman"/>
                <w:b/>
                <w:bCs/>
                <w:i/>
                <w:color w:val="000000"/>
                <w:sz w:val="24"/>
                <w:lang w:val="en-US"/>
              </w:rPr>
              <w:t>Nơi nhận:</w:t>
            </w:r>
            <w:r>
              <w:rPr>
                <w:rFonts w:cs="Times New Roman" w:ascii="Times New Roman" w:hAnsi="Times New Roman"/>
                <w:color w:val="000000"/>
                <w:lang w:val="en-US"/>
              </w:rPr>
              <w:tab/>
              <w:tab/>
              <w:tab/>
              <w:tab/>
              <w:t xml:space="preserve">           </w:t>
            </w:r>
            <w:r>
              <w:rPr>
                <w:rFonts w:cs="Times New Roman" w:ascii="Times New Roman" w:hAnsi="Times New Roman"/>
                <w:b/>
                <w:bCs/>
                <w:color w:val="000000"/>
                <w:lang w:val="en-US"/>
              </w:rPr>
              <w:t xml:space="preserve">               </w:t>
            </w:r>
            <w:r>
              <w:rPr>
                <w:rFonts w:cs="Times New Roman" w:ascii="Times New Roman" w:hAnsi="Times New Roman"/>
                <w:b/>
                <w:bCs/>
                <w:color w:val="000000"/>
                <w:sz w:val="22"/>
                <w:szCs w:val="22"/>
                <w:lang w:val="en-US"/>
              </w:rPr>
              <w:t xml:space="preserve">- </w:t>
            </w:r>
            <w:r>
              <w:rPr>
                <w:rFonts w:cs="Times New Roman" w:ascii="Times New Roman" w:hAnsi="Times New Roman"/>
                <w:color w:val="000000"/>
                <w:sz w:val="22"/>
                <w:szCs w:val="22"/>
              </w:rPr>
              <w:t>Như trên</w:t>
            </w:r>
            <w:r>
              <w:rPr>
                <w:rFonts w:cs="Times New Roman" w:ascii="Times New Roman" w:hAnsi="Times New Roman"/>
                <w:color w:val="000000"/>
                <w:sz w:val="22"/>
                <w:szCs w:val="22"/>
                <w:lang w:val="en-US"/>
              </w:rPr>
              <w:t>;</w:t>
            </w:r>
          </w:p>
          <w:p>
            <w:pPr>
              <w:pStyle w:val="Normal"/>
              <w:jc w:val="both"/>
              <w:rPr/>
            </w:pPr>
            <w:r>
              <w:rPr>
                <w:rFonts w:cs="Times New Roman" w:ascii="Times New Roman" w:hAnsi="Times New Roman"/>
                <w:color w:val="000000"/>
                <w:sz w:val="22"/>
                <w:szCs w:val="22"/>
              </w:rPr>
              <w:t>- Cục Hoá chất;</w:t>
            </w:r>
          </w:p>
          <w:p>
            <w:pPr>
              <w:pStyle w:val="Normal"/>
              <w:jc w:val="both"/>
              <w:rPr>
                <w:rFonts w:ascii="Times New Roman" w:hAnsi="Times New Roman" w:cs="Times New Roman"/>
                <w:color w:val="000000"/>
                <w:sz w:val="22"/>
                <w:szCs w:val="22"/>
              </w:rPr>
            </w:pPr>
            <w:r>
              <w:rPr>
                <w:rFonts w:cs="Times New Roman" w:ascii="Times New Roman" w:hAnsi="Times New Roman"/>
                <w:color w:val="000000"/>
                <w:sz w:val="22"/>
                <w:szCs w:val="22"/>
              </w:rPr>
              <w:t>- UBND tỉnh (b/c);</w:t>
            </w:r>
          </w:p>
          <w:p>
            <w:pPr>
              <w:pStyle w:val="Normal"/>
              <w:jc w:val="both"/>
              <w:rPr>
                <w:rFonts w:ascii="Times New Roman" w:hAnsi="Times New Roman" w:cs="Times New Roman"/>
                <w:color w:val="000000"/>
                <w:sz w:val="22"/>
                <w:szCs w:val="22"/>
              </w:rPr>
            </w:pPr>
            <w:r>
              <w:rPr>
                <w:rFonts w:cs="Times New Roman" w:ascii="Times New Roman" w:hAnsi="Times New Roman"/>
                <w:color w:val="000000"/>
                <w:sz w:val="22"/>
                <w:szCs w:val="22"/>
              </w:rPr>
              <w:t>- Đ/c GĐ;  PGĐ 3;</w:t>
            </w:r>
          </w:p>
          <w:p>
            <w:pPr>
              <w:pStyle w:val="Normal"/>
              <w:jc w:val="both"/>
              <w:rPr>
                <w:rFonts w:ascii="Times New Roman" w:hAnsi="Times New Roman" w:cs="Times New Roman"/>
                <w:color w:val="000000"/>
                <w:sz w:val="22"/>
                <w:szCs w:val="22"/>
                <w:lang w:val="en-US"/>
              </w:rPr>
            </w:pPr>
            <w:r>
              <w:rPr>
                <w:rFonts w:cs="Times New Roman" w:ascii="Times New Roman" w:hAnsi="Times New Roman"/>
                <w:color w:val="000000"/>
                <w:sz w:val="22"/>
                <w:szCs w:val="22"/>
                <w:lang w:val="en-US"/>
              </w:rPr>
              <w:t>-</w:t>
            </w:r>
            <w:r>
              <w:rPr>
                <w:rFonts w:cs="Times New Roman" w:ascii="Times New Roman" w:hAnsi="Times New Roman"/>
                <w:b/>
                <w:color w:val="000000"/>
                <w:lang w:val="en-US"/>
              </w:rPr>
              <w:t xml:space="preserve"> </w:t>
            </w:r>
            <w:r>
              <w:rPr>
                <w:rFonts w:cs="Times New Roman" w:ascii="Times New Roman" w:hAnsi="Times New Roman"/>
                <w:color w:val="000000"/>
                <w:sz w:val="22"/>
                <w:szCs w:val="22"/>
                <w:lang w:val="en-US"/>
              </w:rPr>
              <w:t>Lưu: VT,CN</w:t>
            </w:r>
            <w:r>
              <w:rPr>
                <w:rFonts w:cs="Times New Roman" w:ascii="Times New Roman" w:hAnsi="Times New Roman"/>
                <w:color w:val="000000"/>
                <w:sz w:val="22"/>
                <w:szCs w:val="22"/>
              </w:rPr>
              <w:t xml:space="preserve"> </w:t>
            </w:r>
            <w:r>
              <w:rPr>
                <w:rFonts w:cs="Times New Roman" w:ascii="Times New Roman" w:hAnsi="Times New Roman"/>
                <w:color w:val="000000"/>
                <w:sz w:val="22"/>
                <w:szCs w:val="22"/>
                <w:vertAlign w:val="subscript"/>
              </w:rPr>
              <w:t>(Loan)</w:t>
            </w:r>
            <w:r>
              <w:rPr>
                <w:rFonts w:cs="Times New Roman" w:ascii="Times New Roman" w:hAnsi="Times New Roman"/>
                <w:color w:val="000000"/>
                <w:sz w:val="22"/>
                <w:szCs w:val="22"/>
                <w:vertAlign w:val="subscript"/>
                <w:lang w:val="en-US"/>
              </w:rPr>
              <w:t>.</w:t>
            </w:r>
            <w:r>
              <w:rPr>
                <w:rFonts w:cs="Times New Roman" w:ascii="Times New Roman" w:hAnsi="Times New Roman"/>
                <w:color w:val="000000"/>
                <w:lang w:val="en-US"/>
              </w:rPr>
              <w:t xml:space="preserve">           </w:t>
            </w:r>
            <w:r>
              <w:rPr>
                <w:rFonts w:cs="Times New Roman" w:ascii="Times New Roman" w:hAnsi="Times New Roman"/>
                <w:color w:val="000000"/>
                <w:sz w:val="22"/>
                <w:szCs w:val="22"/>
                <w:lang w:val="en-US"/>
              </w:rPr>
              <w:t xml:space="preserve">          </w:t>
            </w:r>
          </w:p>
        </w:tc>
        <w:tc>
          <w:tcPr>
            <w:tcW w:w="4517" w:type="dxa"/>
            <w:tcBorders/>
          </w:tcPr>
          <w:p>
            <w:pPr>
              <w:pStyle w:val="Normal"/>
              <w:jc w:val="center"/>
              <w:rPr>
                <w:rFonts w:ascii="Times New Roman" w:hAnsi="Times New Roman" w:cs="Times New Roman"/>
                <w:b/>
                <w:bCs/>
                <w:color w:val="000000"/>
                <w:lang w:val="en-US"/>
              </w:rPr>
            </w:pPr>
            <w:r>
              <w:rPr>
                <w:rFonts w:cs="Times New Roman" w:ascii="Times New Roman" w:hAnsi="Times New Roman"/>
                <w:b/>
                <w:bCs/>
                <w:color w:val="000000"/>
              </w:rPr>
              <w:t xml:space="preserve">KT. </w:t>
            </w:r>
            <w:r>
              <w:rPr>
                <w:rFonts w:cs="Times New Roman" w:ascii="Times New Roman" w:hAnsi="Times New Roman"/>
                <w:b/>
                <w:bCs/>
                <w:color w:val="000000"/>
                <w:lang w:val="en-US"/>
              </w:rPr>
              <w:t>GIÁM ĐỐC</w:t>
            </w:r>
            <w:r>
              <w:rPr>
                <w:rFonts w:cs="Times New Roman" w:ascii="Times New Roman" w:hAnsi="Times New Roman"/>
                <w:color w:val="000000"/>
                <w:sz w:val="22"/>
                <w:szCs w:val="22"/>
                <w:lang w:val="en-US"/>
              </w:rPr>
              <w:t xml:space="preserve">                                                                </w:t>
            </w:r>
          </w:p>
          <w:p>
            <w:pPr>
              <w:pStyle w:val="Normal"/>
              <w:jc w:val="center"/>
              <w:rPr>
                <w:rFonts w:ascii="Times New Roman" w:hAnsi="Times New Roman" w:cs="Times New Roman"/>
                <w:b/>
                <w:bCs/>
                <w:color w:val="000000"/>
              </w:rPr>
            </w:pPr>
            <w:r>
              <w:rPr>
                <w:rFonts w:cs="Times New Roman" w:ascii="Times New Roman" w:hAnsi="Times New Roman"/>
                <w:b/>
                <w:bCs/>
                <w:color w:val="000000"/>
              </w:rPr>
              <w:t>PHÓ GIÁM ĐỐC</w:t>
            </w:r>
          </w:p>
          <w:p>
            <w:pPr>
              <w:pStyle w:val="Normal"/>
              <w:spacing w:before="120" w:after="0"/>
              <w:jc w:val="center"/>
              <w:rPr>
                <w:rFonts w:ascii="Times New Roman" w:hAnsi="Times New Roman" w:cs="Times New Roman"/>
                <w:b/>
                <w:bCs/>
                <w:color w:val="000000"/>
                <w:lang w:val="en-US"/>
              </w:rPr>
            </w:pPr>
            <w:r>
              <w:rPr>
                <w:rFonts w:cs="Times New Roman" w:ascii="Times New Roman" w:hAnsi="Times New Roman"/>
                <w:b/>
                <w:bCs/>
                <w:color w:val="000000"/>
                <w:lang w:val="en-US"/>
              </w:rPr>
            </w:r>
          </w:p>
          <w:p>
            <w:pPr>
              <w:pStyle w:val="Normal"/>
              <w:spacing w:before="120" w:after="0"/>
              <w:jc w:val="center"/>
              <w:rPr>
                <w:rFonts w:ascii="Times New Roman" w:hAnsi="Times New Roman" w:cs="Times New Roman"/>
                <w:b/>
                <w:bCs/>
                <w:color w:val="000000"/>
                <w:lang w:val="en-US"/>
              </w:rPr>
            </w:pPr>
            <w:r>
              <w:rPr>
                <w:rFonts w:cs="Times New Roman" w:ascii="Times New Roman" w:hAnsi="Times New Roman"/>
                <w:b/>
                <w:bCs/>
                <w:color w:val="000000"/>
                <w:lang w:val="en-US"/>
              </w:rPr>
            </w:r>
          </w:p>
          <w:p>
            <w:pPr>
              <w:pStyle w:val="Normal"/>
              <w:spacing w:before="120" w:after="0"/>
              <w:jc w:val="center"/>
              <w:rPr>
                <w:rFonts w:ascii="Times New Roman" w:hAnsi="Times New Roman" w:cs="Times New Roman"/>
                <w:b/>
                <w:bCs/>
                <w:color w:val="000000"/>
                <w:lang w:val="en-US"/>
              </w:rPr>
            </w:pPr>
            <w:r>
              <w:rPr>
                <w:rFonts w:cs="Times New Roman" w:ascii="Times New Roman" w:hAnsi="Times New Roman"/>
                <w:b/>
                <w:bCs/>
                <w:color w:val="000000"/>
                <w:lang w:val="en-US"/>
              </w:rPr>
            </w:r>
          </w:p>
          <w:p>
            <w:pPr>
              <w:pStyle w:val="Normal"/>
              <w:spacing w:before="120" w:after="0"/>
              <w:jc w:val="center"/>
              <w:rPr>
                <w:rFonts w:ascii="Times New Roman" w:hAnsi="Times New Roman" w:cs="Times New Roman"/>
                <w:b/>
                <w:bCs/>
                <w:color w:val="000000"/>
                <w:lang w:val="en-US"/>
              </w:rPr>
            </w:pPr>
            <w:r>
              <w:rPr>
                <w:rFonts w:cs="Times New Roman" w:ascii="Times New Roman" w:hAnsi="Times New Roman"/>
                <w:b/>
                <w:bCs/>
                <w:color w:val="000000"/>
                <w:lang w:val="en-US"/>
              </w:rPr>
            </w:r>
          </w:p>
          <w:p>
            <w:pPr>
              <w:pStyle w:val="Normal"/>
              <w:spacing w:before="120" w:after="0"/>
              <w:jc w:val="center"/>
              <w:rPr>
                <w:rFonts w:ascii="Times New Roman" w:hAnsi="Times New Roman" w:cs="Times New Roman"/>
                <w:b/>
                <w:bCs/>
                <w:color w:val="000000"/>
              </w:rPr>
            </w:pPr>
            <w:r>
              <w:rPr>
                <w:rFonts w:cs="Times New Roman" w:ascii="Times New Roman" w:hAnsi="Times New Roman"/>
                <w:b/>
                <w:color w:val="000000"/>
              </w:rPr>
              <w:t>Hoàng Văn Thuân</w:t>
            </w:r>
          </w:p>
        </w:tc>
      </w:tr>
    </w:tbl>
    <w:p>
      <w:pPr>
        <w:sectPr>
          <w:headerReference w:type="default" r:id="rId2"/>
          <w:headerReference w:type="first" r:id="rId3"/>
          <w:type w:val="nextPage"/>
          <w:pgSz w:w="11906" w:h="16838"/>
          <w:pgMar w:left="1701" w:right="851" w:gutter="0" w:header="720" w:top="1134" w:footer="0" w:bottom="1134"/>
          <w:pgNumType w:fmt="decimal"/>
          <w:formProt w:val="false"/>
          <w:titlePg/>
          <w:textDirection w:val="lrTb"/>
          <w:docGrid w:type="default" w:linePitch="381" w:charSpace="0"/>
        </w:sectPr>
      </w:pPr>
    </w:p>
    <w:p>
      <w:pPr>
        <w:pStyle w:val="Normal"/>
        <w:suppressAutoHyphens w:val="false"/>
        <w:jc w:val="center"/>
        <w:rPr>
          <w:rFonts w:ascii="Times New Roman" w:hAnsi="Times New Roman" w:eastAsia="Calibri" w:cs="Times New Roman"/>
          <w:b/>
          <w:bCs/>
          <w:color w:val="000000"/>
          <w:kern w:val="2"/>
          <w:szCs w:val="22"/>
          <w:lang w:eastAsia="en-US"/>
        </w:rPr>
      </w:pPr>
      <w:r>
        <w:rPr>
          <w:rFonts w:eastAsia="Calibri" w:cs="Times New Roman" w:ascii="Times New Roman" w:hAnsi="Times New Roman"/>
          <w:b/>
          <w:bCs/>
          <w:color w:val="000000"/>
          <w:kern w:val="2"/>
          <w:szCs w:val="22"/>
          <w:lang w:eastAsia="en-US"/>
        </w:rPr>
        <w:t>Phụ lục</w:t>
      </w:r>
    </w:p>
    <w:p>
      <w:pPr>
        <w:pStyle w:val="Normal"/>
        <w:suppressAutoHyphens w:val="false"/>
        <w:jc w:val="center"/>
        <w:rPr>
          <w:rFonts w:ascii="Times New Roman" w:hAnsi="Times New Roman" w:eastAsia="Calibri" w:cs="Times New Roman"/>
          <w:b/>
          <w:bCs/>
          <w:color w:val="000000"/>
          <w:kern w:val="2"/>
          <w:szCs w:val="22"/>
          <w:lang w:eastAsia="en-US"/>
        </w:rPr>
      </w:pPr>
      <w:r>
        <w:rPr>
          <w:rFonts w:eastAsia="Calibri" w:cs="Times New Roman" w:ascii="Times New Roman" w:hAnsi="Times New Roman"/>
          <w:b/>
          <w:bCs/>
          <w:color w:val="000000"/>
          <w:kern w:val="2"/>
          <w:szCs w:val="22"/>
          <w:lang w:eastAsia="en-US"/>
        </w:rPr>
        <w:t>DANH MỤC CÁC DỰ ÁN CÔNG NGHIỆP HÓA CHẤT TRÊN ĐỊA BÀN TỈNH LÀO CAI GIAI ĐOẠN 2022-2025</w:t>
      </w:r>
    </w:p>
    <w:p>
      <w:pPr>
        <w:pStyle w:val="Normal"/>
        <w:suppressAutoHyphens w:val="false"/>
        <w:jc w:val="center"/>
        <w:rPr/>
      </w:pPr>
      <w:r>
        <w:rPr>
          <w:rFonts w:eastAsia="Calibri" w:cs="Times New Roman" w:ascii="Times New Roman" w:hAnsi="Times New Roman"/>
          <w:i/>
          <w:iCs/>
          <w:color w:val="000000"/>
          <w:kern w:val="2"/>
          <w:szCs w:val="22"/>
          <w:lang w:eastAsia="en-US"/>
        </w:rPr>
        <w:t>(Kèm theo Công văn số        /SCT-CN ngày      /01/2026 của Sở Công Thương tỉnh Lào Cai)</w:t>
      </w:r>
    </w:p>
    <w:p>
      <w:pPr>
        <w:pStyle w:val="Normal"/>
        <w:suppressAutoHyphens w:val="false"/>
        <w:jc w:val="center"/>
        <w:rPr>
          <w:rFonts w:ascii="Times New Roman" w:hAnsi="Times New Roman" w:eastAsia="Calibri" w:cs="Times New Roman"/>
          <w:b/>
          <w:bCs/>
          <w:i/>
          <w:i/>
          <w:iCs/>
          <w:color w:val="000000"/>
          <w:kern w:val="2"/>
          <w:szCs w:val="22"/>
          <w:lang w:eastAsia="en-US"/>
        </w:rPr>
      </w:pPr>
      <w:r>
        <w:rPr>
          <w:rFonts w:eastAsia="Calibri" w:cs="Times New Roman" w:ascii="Times New Roman" w:hAnsi="Times New Roman"/>
          <w:b/>
          <w:bCs/>
          <w:i/>
          <w:iCs/>
          <w:color w:val="000000"/>
          <w:kern w:val="2"/>
          <w:szCs w:val="22"/>
          <w:lang w:eastAsia="en-US"/>
        </w:rPr>
      </w:r>
    </w:p>
    <w:tbl>
      <w:tblPr>
        <w:tblW w:w="15139" w:type="dxa"/>
        <w:jc w:val="start"/>
        <w:tblInd w:w="-714" w:type="dxa"/>
        <w:tblLayout w:type="fixed"/>
        <w:tblCellMar>
          <w:top w:w="0" w:type="dxa"/>
          <w:start w:w="108" w:type="dxa"/>
          <w:bottom w:w="0" w:type="dxa"/>
          <w:end w:w="108" w:type="dxa"/>
        </w:tblCellMar>
      </w:tblPr>
      <w:tblGrid>
        <w:gridCol w:w="746"/>
        <w:gridCol w:w="3195"/>
        <w:gridCol w:w="3260"/>
        <w:gridCol w:w="3402"/>
        <w:gridCol w:w="4536"/>
      </w:tblGrid>
      <w:tr>
        <w:trPr>
          <w:tblHeader w:val="true"/>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b/>
                <w:bCs/>
                <w:color w:val="000000"/>
                <w:kern w:val="2"/>
                <w:sz w:val="26"/>
                <w:szCs w:val="26"/>
                <w:lang w:eastAsia="en-US"/>
              </w:rPr>
              <w:t>STT</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b/>
                <w:bCs/>
                <w:color w:val="000000"/>
                <w:kern w:val="2"/>
                <w:sz w:val="26"/>
                <w:szCs w:val="26"/>
                <w:lang w:eastAsia="en-US"/>
              </w:rPr>
              <w:t>Tên dự án</w:t>
            </w:r>
          </w:p>
        </w:tc>
        <w:tc>
          <w:tcPr>
            <w:tcW w:w="326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b/>
                <w:bCs/>
                <w:color w:val="000000"/>
                <w:kern w:val="2"/>
                <w:sz w:val="26"/>
                <w:szCs w:val="26"/>
                <w:lang w:eastAsia="en-US"/>
              </w:rPr>
              <w:t>Địa điểm</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b/>
                <w:bCs/>
                <w:color w:val="000000"/>
                <w:kern w:val="2"/>
                <w:sz w:val="26"/>
                <w:szCs w:val="26"/>
                <w:lang w:eastAsia="en-US"/>
              </w:rPr>
              <w:t>Loại hình hoạt động, sản phẩm chính, sản phẩm phụ</w:t>
            </w:r>
          </w:p>
        </w:tc>
        <w:tc>
          <w:tcPr>
            <w:tcW w:w="453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b/>
                <w:bCs/>
                <w:color w:val="000000"/>
                <w:kern w:val="2"/>
                <w:sz w:val="26"/>
                <w:szCs w:val="26"/>
                <w:lang w:eastAsia="en-US"/>
              </w:rPr>
              <w:t>Quy mô công suất</w:t>
            </w:r>
          </w:p>
        </w:tc>
      </w:tr>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color w:val="000000"/>
                <w:kern w:val="2"/>
                <w:sz w:val="26"/>
                <w:szCs w:val="26"/>
                <w:lang w:eastAsia="en-US"/>
              </w:rPr>
              <w:t>1</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both"/>
              <w:rPr>
                <w:rFonts w:ascii="Times New Roman" w:hAnsi="Times New Roman" w:eastAsia="Calibri" w:cs="Times New Roman"/>
                <w:b/>
                <w:bCs/>
                <w:color w:val="000000"/>
                <w:kern w:val="2"/>
                <w:sz w:val="26"/>
                <w:szCs w:val="26"/>
                <w:lang w:eastAsia="en-US"/>
              </w:rPr>
            </w:pPr>
            <w:r>
              <w:rPr>
                <w:rFonts w:cs="Times New Roman" w:ascii="Times New Roman" w:hAnsi="Times New Roman"/>
                <w:bCs/>
                <w:color w:val="000000"/>
                <w:sz w:val="26"/>
                <w:szCs w:val="26"/>
              </w:rPr>
              <w:t xml:space="preserve">Dự án đầu tư xây dựng dự án nhà máy gia công, sang chai đóng gói thuốc BVTV, thuốc trừ côn trùng và sản xuất phân bón hữu cơ; phối trộn, đóng gói phân bón vô cơ - </w:t>
            </w:r>
            <w:r>
              <w:rPr>
                <w:rFonts w:eastAsia="Calibri" w:cs="Times New Roman" w:ascii="Times New Roman" w:hAnsi="Times New Roman"/>
                <w:bCs/>
                <w:color w:val="000000"/>
                <w:kern w:val="2"/>
                <w:sz w:val="26"/>
                <w:szCs w:val="26"/>
                <w:lang w:eastAsia="en-US"/>
              </w:rPr>
              <w:t>Công ty Cổ phần BMC Yên Bái</w:t>
            </w:r>
          </w:p>
        </w:tc>
        <w:tc>
          <w:tcPr>
            <w:tcW w:w="326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bCs/>
                <w:color w:val="000000"/>
                <w:kern w:val="2"/>
                <w:sz w:val="26"/>
                <w:szCs w:val="26"/>
                <w:lang w:eastAsia="en-US"/>
              </w:rPr>
              <w:t>Lô số V đến VIII, CCN Đông An, thôn Toàn An, xã Đông Cuông, tỉnh Lào Cai</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cs="Times New Roman" w:ascii="Times New Roman" w:hAnsi="Times New Roman"/>
                <w:bCs/>
                <w:color w:val="000000"/>
                <w:sz w:val="26"/>
                <w:szCs w:val="26"/>
              </w:rPr>
              <w:t>Gia công, sang chai đóng gói thuốc BVTV, thuốc trừ côn trùng và sản xuất phân bón hữu cơ; phối trộn, đóng gói phân bón vô cơ</w:t>
            </w:r>
          </w:p>
        </w:tc>
        <w:tc>
          <w:tcPr>
            <w:tcW w:w="453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color w:val="000000"/>
                <w:kern w:val="2"/>
                <w:sz w:val="26"/>
                <w:szCs w:val="26"/>
                <w:lang w:eastAsia="en-US"/>
              </w:rPr>
            </w:pPr>
            <w:r>
              <w:rPr>
                <w:rFonts w:eastAsia="Calibri" w:cs="Times New Roman" w:ascii="Times New Roman" w:hAnsi="Times New Roman"/>
                <w:color w:val="000000"/>
                <w:kern w:val="2"/>
                <w:sz w:val="26"/>
                <w:szCs w:val="26"/>
                <w:lang w:eastAsia="en-US"/>
              </w:rPr>
              <w:t>Công suất 2500 tấn/năm</w:t>
            </w:r>
          </w:p>
        </w:tc>
      </w:tr>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color w:val="000000"/>
                <w:kern w:val="2"/>
                <w:sz w:val="26"/>
                <w:szCs w:val="26"/>
                <w:lang w:eastAsia="en-US"/>
              </w:rPr>
              <w:t>2</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both"/>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bCs/>
                <w:color w:val="000000"/>
                <w:kern w:val="2"/>
                <w:sz w:val="26"/>
                <w:szCs w:val="26"/>
                <w:lang w:eastAsia="en-US"/>
              </w:rPr>
              <w:t>Nhà máy phân lân nung chảy của Công ty cổ phần phân lân Sông Thao</w:t>
            </w:r>
          </w:p>
        </w:tc>
        <w:tc>
          <w:tcPr>
            <w:tcW w:w="326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bCs/>
                <w:color w:val="000000"/>
                <w:kern w:val="2"/>
                <w:sz w:val="26"/>
                <w:szCs w:val="26"/>
                <w:lang w:eastAsia="en-US"/>
              </w:rPr>
              <w:t>Lô A4, khu công nghiệp Minh Quân, xã Minh Quân, huyện Trấn Yên, tỉnh Yên Bái</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bCs/>
                <w:color w:val="000000"/>
                <w:kern w:val="2"/>
                <w:sz w:val="26"/>
                <w:szCs w:val="26"/>
                <w:lang w:eastAsia="en-US"/>
              </w:rPr>
              <w:t>Phân lân nung chảy</w:t>
            </w:r>
          </w:p>
        </w:tc>
        <w:tc>
          <w:tcPr>
            <w:tcW w:w="453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bCs/>
                <w:color w:val="000000"/>
                <w:kern w:val="2"/>
                <w:sz w:val="26"/>
                <w:szCs w:val="26"/>
                <w:lang w:eastAsia="en-US"/>
              </w:rPr>
              <w:t>Công suất thiết kế: 90.000 tấn/năm</w:t>
            </w:r>
          </w:p>
        </w:tc>
      </w:tr>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color w:val="000000"/>
                <w:kern w:val="2"/>
                <w:sz w:val="26"/>
                <w:szCs w:val="26"/>
                <w:lang w:eastAsia="en-US"/>
              </w:rPr>
              <w:t>3</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both"/>
              <w:rPr>
                <w:rFonts w:ascii="Times New Roman" w:hAnsi="Times New Roman" w:cs="Times New Roman"/>
                <w:bCs/>
                <w:color w:val="000000"/>
                <w:spacing w:val="-4"/>
                <w:sz w:val="26"/>
                <w:szCs w:val="26"/>
              </w:rPr>
            </w:pPr>
            <w:r>
              <w:rPr>
                <w:rFonts w:cs="Times New Roman" w:ascii="Times New Roman" w:hAnsi="Times New Roman"/>
                <w:bCs/>
                <w:color w:val="000000"/>
                <w:spacing w:val="-4"/>
                <w:sz w:val="26"/>
                <w:szCs w:val="26"/>
              </w:rPr>
              <w:t xml:space="preserve">Dự án nhà máy DCP, MCP, SSP Yên Bái của </w:t>
            </w:r>
            <w:r>
              <w:rPr>
                <w:rFonts w:cs="Times New Roman" w:ascii="Times New Roman" w:hAnsi="Times New Roman"/>
                <w:color w:val="000000"/>
                <w:spacing w:val="-2"/>
                <w:sz w:val="26"/>
                <w:szCs w:val="26"/>
                <w:lang w:val="nb-NO"/>
              </w:rPr>
              <w:t>Công ty cổ phần phát triển Công nghệ hoá Yên Bái</w:t>
            </w:r>
          </w:p>
          <w:p>
            <w:pPr>
              <w:pStyle w:val="Normal"/>
              <w:suppressAutoHyphens w:val="false"/>
              <w:spacing w:before="120" w:after="120"/>
              <w:jc w:val="both"/>
              <w:rPr>
                <w:rFonts w:ascii="Times New Roman" w:hAnsi="Times New Roman" w:cs="Times New Roman"/>
                <w:bCs/>
                <w:color w:val="000000"/>
                <w:spacing w:val="-4"/>
                <w:sz w:val="26"/>
                <w:szCs w:val="26"/>
              </w:rPr>
            </w:pPr>
            <w:r>
              <w:rPr>
                <w:rFonts w:cs="Times New Roman" w:ascii="Times New Roman" w:hAnsi="Times New Roman"/>
                <w:bCs/>
                <w:color w:val="000000"/>
                <w:spacing w:val="-4"/>
                <w:sz w:val="26"/>
                <w:szCs w:val="26"/>
              </w:rPr>
              <w:t>(</w:t>
            </w:r>
            <w:r>
              <w:rPr>
                <w:rFonts w:cs="Times New Roman" w:ascii="Times New Roman" w:hAnsi="Times New Roman"/>
                <w:color w:val="000000"/>
                <w:spacing w:val="-4"/>
                <w:sz w:val="26"/>
                <w:szCs w:val="26"/>
              </w:rPr>
              <w:t>Công nghệ thiết bị dự án nhập khẩu từ Trung Quốc và sản xuất trong nước)</w:t>
            </w:r>
          </w:p>
          <w:p>
            <w:pPr>
              <w:pStyle w:val="Normal"/>
              <w:suppressAutoHyphens w:val="false"/>
              <w:spacing w:before="120" w:after="120"/>
              <w:jc w:val="both"/>
              <w:rPr>
                <w:rFonts w:ascii="Times New Roman" w:hAnsi="Times New Roman" w:eastAsia="Calibri" w:cs="Times New Roman"/>
                <w:b/>
                <w:bCs/>
                <w:color w:val="000000"/>
                <w:spacing w:val="-4"/>
                <w:kern w:val="2"/>
                <w:sz w:val="26"/>
                <w:szCs w:val="26"/>
                <w:lang w:eastAsia="en-US"/>
              </w:rPr>
            </w:pPr>
            <w:r>
              <w:rPr>
                <w:rFonts w:eastAsia="Calibri" w:cs="Times New Roman" w:ascii="Times New Roman" w:hAnsi="Times New Roman"/>
                <w:b/>
                <w:bCs/>
                <w:color w:val="000000"/>
                <w:spacing w:val="-4"/>
                <w:kern w:val="2"/>
                <w:sz w:val="26"/>
                <w:szCs w:val="26"/>
                <w:lang w:eastAsia="en-US"/>
              </w:rPr>
            </w:r>
          </w:p>
        </w:tc>
        <w:tc>
          <w:tcPr>
            <w:tcW w:w="326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napToGrid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b/>
                <w:bCs/>
                <w:color w:val="000000"/>
                <w:kern w:val="2"/>
                <w:sz w:val="26"/>
                <w:szCs w:val="26"/>
                <w:lang w:eastAsia="en-US"/>
              </w:rPr>
            </w:r>
          </w:p>
          <w:p>
            <w:pPr>
              <w:pStyle w:val="Normal"/>
              <w:suppressAutoHyphens w:val="false"/>
              <w:spacing w:before="120" w:after="120"/>
              <w:jc w:val="center"/>
              <w:rPr>
                <w:rFonts w:ascii="Times New Roman" w:hAnsi="Times New Roman" w:eastAsia="Calibri" w:cs="Times New Roman"/>
                <w:bCs/>
                <w:color w:val="000000"/>
                <w:kern w:val="2"/>
                <w:sz w:val="26"/>
                <w:szCs w:val="26"/>
                <w:lang w:eastAsia="en-US"/>
              </w:rPr>
            </w:pPr>
            <w:r>
              <w:rPr>
                <w:rFonts w:eastAsia="Calibri" w:cs="Times New Roman" w:ascii="Times New Roman" w:hAnsi="Times New Roman"/>
                <w:bCs/>
                <w:color w:val="000000"/>
                <w:kern w:val="2"/>
                <w:sz w:val="26"/>
                <w:szCs w:val="26"/>
                <w:lang w:eastAsia="en-US"/>
              </w:rPr>
              <w:t>Khu công nghiệp phía Nam, tỉnh Lào Cai</w:t>
            </w:r>
          </w:p>
          <w:p>
            <w:pPr>
              <w:pStyle w:val="Normal"/>
              <w:suppressAutoHyphens w:val="false"/>
              <w:spacing w:before="120" w:after="120"/>
              <w:jc w:val="center"/>
              <w:rPr>
                <w:rFonts w:ascii="Times New Roman" w:hAnsi="Times New Roman" w:eastAsia="Calibri" w:cs="Times New Roman"/>
                <w:bCs/>
                <w:color w:val="000000"/>
                <w:kern w:val="2"/>
                <w:sz w:val="26"/>
                <w:szCs w:val="26"/>
                <w:lang w:eastAsia="en-US"/>
              </w:rPr>
            </w:pPr>
            <w:r>
              <w:rPr>
                <w:rFonts w:eastAsia="Calibri" w:cs="Times New Roman" w:ascii="Times New Roman" w:hAnsi="Times New Roman"/>
                <w:bCs/>
                <w:color w:val="000000"/>
                <w:kern w:val="2"/>
                <w:sz w:val="26"/>
                <w:szCs w:val="26"/>
                <w:lang w:eastAsia="en-US"/>
              </w:rPr>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bCs/>
                <w:color w:val="000000"/>
                <w:kern w:val="2"/>
                <w:sz w:val="26"/>
                <w:szCs w:val="26"/>
                <w:lang w:eastAsia="en-US"/>
              </w:rPr>
              <w:t xml:space="preserve">Sản phẩm chính: </w:t>
            </w:r>
            <w:r>
              <w:rPr>
                <w:rFonts w:cs="Times New Roman" w:ascii="Times New Roman" w:hAnsi="Times New Roman"/>
                <w:color w:val="000000"/>
                <w:spacing w:val="-4"/>
                <w:sz w:val="26"/>
                <w:szCs w:val="26"/>
              </w:rPr>
              <w:t>Khoáng chất DCP, MCP; sản phẩm phụ: Khoáng chất SSP; Axit phosphoric; Muối NaF; Thạch cao nhân tạo, khí CO</w:t>
            </w:r>
            <w:r>
              <w:rPr>
                <w:rFonts w:cs="Times New Roman" w:ascii="Times New Roman" w:hAnsi="Times New Roman"/>
                <w:color w:val="000000"/>
                <w:spacing w:val="-4"/>
                <w:sz w:val="26"/>
                <w:szCs w:val="26"/>
                <w:vertAlign w:val="subscript"/>
              </w:rPr>
              <w:t>2</w:t>
            </w:r>
            <w:r>
              <w:rPr>
                <w:rFonts w:cs="Times New Roman" w:ascii="Times New Roman" w:hAnsi="Times New Roman"/>
                <w:color w:val="000000"/>
                <w:spacing w:val="-4"/>
                <w:sz w:val="26"/>
                <w:szCs w:val="26"/>
              </w:rPr>
              <w:t xml:space="preserve"> hóa lỏng.</w:t>
            </w:r>
          </w:p>
        </w:tc>
        <w:tc>
          <w:tcPr>
            <w:tcW w:w="453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Cs/>
                <w:color w:val="000000"/>
                <w:kern w:val="2"/>
                <w:sz w:val="26"/>
                <w:szCs w:val="26"/>
                <w:lang w:eastAsia="en-US"/>
              </w:rPr>
            </w:pPr>
            <w:r>
              <w:rPr>
                <w:rFonts w:eastAsia="Calibri" w:cs="Times New Roman" w:ascii="Times New Roman" w:hAnsi="Times New Roman"/>
                <w:bCs/>
                <w:color w:val="000000"/>
                <w:kern w:val="2"/>
                <w:sz w:val="26"/>
                <w:szCs w:val="26"/>
                <w:lang w:eastAsia="en-US"/>
              </w:rPr>
              <w:t>Khoáng chất DCP, MCP: 50.000 tấn/năm.</w:t>
            </w:r>
          </w:p>
          <w:p>
            <w:pPr>
              <w:pStyle w:val="Normal"/>
              <w:suppressAutoHyphens w:val="false"/>
              <w:spacing w:before="120" w:after="120"/>
              <w:jc w:val="center"/>
              <w:rPr/>
            </w:pPr>
            <w:r>
              <w:rPr>
                <w:rFonts w:eastAsia="Calibri" w:cs="Times New Roman" w:ascii="Times New Roman" w:hAnsi="Times New Roman"/>
                <w:bCs/>
                <w:color w:val="000000"/>
                <w:kern w:val="2"/>
                <w:sz w:val="26"/>
                <w:szCs w:val="26"/>
                <w:lang w:eastAsia="en-US"/>
              </w:rPr>
              <w:t>Khoáng chất SSP tấn/năm; Axit phosphoric: 4.500 tấn/năm; Muối NaF: 50 tấn/năm; Thạch cao nhân tạo: 62.950 tấn/năm; Oxi hóa lỏng: 10.000 tấn/năm</w:t>
            </w:r>
          </w:p>
          <w:p>
            <w:pPr>
              <w:pStyle w:val="Normal"/>
              <w:suppressAutoHyphens w:val="false"/>
              <w:spacing w:before="120" w:after="120"/>
              <w:jc w:val="center"/>
              <w:rPr>
                <w:rFonts w:ascii="Times New Roman" w:hAnsi="Times New Roman" w:eastAsia="Calibri" w:cs="Times New Roman"/>
                <w:bCs/>
                <w:color w:val="000000"/>
                <w:kern w:val="2"/>
                <w:sz w:val="26"/>
                <w:szCs w:val="26"/>
                <w:lang w:eastAsia="en-US"/>
              </w:rPr>
            </w:pPr>
            <w:r>
              <w:rPr>
                <w:rFonts w:eastAsia="Calibri" w:cs="Times New Roman" w:ascii="Times New Roman" w:hAnsi="Times New Roman"/>
                <w:bCs/>
                <w:color w:val="000000"/>
                <w:kern w:val="2"/>
                <w:sz w:val="26"/>
                <w:szCs w:val="26"/>
                <w:lang w:eastAsia="en-US"/>
              </w:rPr>
            </w:r>
          </w:p>
        </w:tc>
      </w:tr>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Cs/>
                <w:color w:val="000000"/>
                <w:kern w:val="2"/>
                <w:sz w:val="26"/>
                <w:szCs w:val="26"/>
                <w:lang w:eastAsia="en-US"/>
              </w:rPr>
            </w:pPr>
            <w:r>
              <w:rPr>
                <w:rFonts w:eastAsia="Calibri" w:cs="Times New Roman" w:ascii="Times New Roman" w:hAnsi="Times New Roman"/>
                <w:bCs/>
                <w:color w:val="000000"/>
                <w:kern w:val="2"/>
                <w:sz w:val="26"/>
                <w:szCs w:val="26"/>
                <w:lang w:eastAsia="en-US"/>
              </w:rPr>
              <w:t>4</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both"/>
              <w:rPr>
                <w:rFonts w:ascii="Times New Roman" w:hAnsi="Times New Roman" w:eastAsia="Calibri" w:cs="Times New Roman"/>
                <w:bCs/>
                <w:color w:val="000000"/>
                <w:kern w:val="2"/>
                <w:sz w:val="26"/>
                <w:szCs w:val="26"/>
                <w:lang w:eastAsia="en-US"/>
              </w:rPr>
            </w:pPr>
            <w:r>
              <w:rPr>
                <w:rFonts w:cs="Times New Roman" w:ascii="Times New Roman" w:hAnsi="Times New Roman"/>
                <w:bCs/>
                <w:color w:val="000000"/>
                <w:spacing w:val="-4"/>
                <w:sz w:val="26"/>
                <w:szCs w:val="26"/>
              </w:rPr>
              <w:t>Nhà máy sản xuất hoá chất LINK-WIN</w:t>
            </w:r>
            <w:r>
              <w:rPr>
                <w:rFonts w:cs="Times New Roman" w:ascii="Times New Roman" w:hAnsi="Times New Roman"/>
                <w:bCs/>
                <w:color w:val="000000"/>
                <w:spacing w:val="-8"/>
                <w:sz w:val="26"/>
                <w:szCs w:val="26"/>
              </w:rPr>
              <w:t xml:space="preserve"> (Công nghệ thiết bị dự án nhập khẩu từ Trung Quốc)</w:t>
            </w:r>
          </w:p>
        </w:tc>
        <w:tc>
          <w:tcPr>
            <w:tcW w:w="326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Cs/>
                <w:color w:val="000000"/>
                <w:kern w:val="2"/>
                <w:sz w:val="26"/>
                <w:szCs w:val="26"/>
                <w:lang w:eastAsia="en-US"/>
              </w:rPr>
            </w:pPr>
            <w:r>
              <w:rPr>
                <w:rFonts w:cs="Times New Roman" w:ascii="Times New Roman" w:hAnsi="Times New Roman"/>
                <w:bCs/>
                <w:color w:val="000000"/>
                <w:spacing w:val="-4"/>
                <w:sz w:val="26"/>
                <w:szCs w:val="26"/>
              </w:rPr>
              <w:t>Khu công nghiệp Minh Quân, tỉnh Lào Cai</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cs="Times New Roman"/>
                <w:bCs/>
                <w:color w:val="000000"/>
                <w:spacing w:val="-4"/>
                <w:sz w:val="26"/>
                <w:szCs w:val="26"/>
              </w:rPr>
            </w:pPr>
            <w:r>
              <w:rPr>
                <w:rFonts w:cs="Times New Roman" w:ascii="Times New Roman" w:hAnsi="Times New Roman"/>
                <w:bCs/>
                <w:color w:val="000000"/>
                <w:spacing w:val="-4"/>
                <w:sz w:val="26"/>
                <w:szCs w:val="26"/>
              </w:rPr>
              <w:t>Sản phẩm: Sản xuất hoá chất cơ bản gồm: Chì Đioxit; Chì cromat; Axít styphnic; Amoni cromat; Amoni dicromat; Bari cromat</w:t>
            </w:r>
          </w:p>
          <w:p>
            <w:pPr>
              <w:pStyle w:val="Normal"/>
              <w:suppressAutoHyphens w:val="false"/>
              <w:spacing w:before="120" w:after="120"/>
              <w:jc w:val="center"/>
              <w:rPr>
                <w:rFonts w:ascii="Times New Roman" w:hAnsi="Times New Roman" w:eastAsia="Calibri" w:cs="Times New Roman"/>
                <w:bCs/>
                <w:color w:val="000000"/>
                <w:spacing w:val="-4"/>
                <w:kern w:val="2"/>
                <w:sz w:val="26"/>
                <w:szCs w:val="26"/>
                <w:lang w:eastAsia="en-US"/>
              </w:rPr>
            </w:pPr>
            <w:r>
              <w:rPr>
                <w:rFonts w:eastAsia="Calibri" w:cs="Times New Roman" w:ascii="Times New Roman" w:hAnsi="Times New Roman"/>
                <w:bCs/>
                <w:color w:val="000000"/>
                <w:spacing w:val="-4"/>
                <w:kern w:val="2"/>
                <w:sz w:val="26"/>
                <w:szCs w:val="26"/>
                <w:lang w:eastAsia="en-US"/>
              </w:rPr>
            </w:r>
          </w:p>
        </w:tc>
        <w:tc>
          <w:tcPr>
            <w:tcW w:w="453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cs="Times New Roman"/>
                <w:bCs/>
                <w:color w:val="000000"/>
                <w:spacing w:val="-4"/>
                <w:sz w:val="26"/>
                <w:szCs w:val="26"/>
              </w:rPr>
            </w:pPr>
            <w:r>
              <w:rPr>
                <w:rFonts w:cs="Times New Roman" w:ascii="Times New Roman" w:hAnsi="Times New Roman"/>
                <w:bCs/>
                <w:color w:val="000000"/>
                <w:spacing w:val="-4"/>
                <w:sz w:val="26"/>
                <w:szCs w:val="26"/>
              </w:rPr>
              <w:t>Chì Đioxit: 20 tấn/năm; Chì cromat: 5 tấn/năm; Axít styphnic: 20 tấn/năm; Amoni cromat: 10 tấn/năm; Amoni dicromat: 10 tấn/năm; Bari cromat: 20 tấn/năm</w:t>
            </w:r>
          </w:p>
        </w:tc>
      </w:tr>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bCs/>
                <w:color w:val="000000"/>
                <w:kern w:val="2"/>
                <w:sz w:val="26"/>
                <w:szCs w:val="26"/>
                <w:lang w:eastAsia="en-US"/>
              </w:rPr>
              <w:t>5</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both"/>
              <w:rPr/>
            </w:pPr>
            <w:r>
              <w:rPr>
                <w:rFonts w:eastAsia="Calibri" w:cs="Times New Roman" w:ascii="Times New Roman" w:hAnsi="Times New Roman"/>
                <w:bCs/>
                <w:color w:val="000000"/>
                <w:kern w:val="2"/>
                <w:sz w:val="26"/>
                <w:szCs w:val="26"/>
                <w:lang w:eastAsia="en-US"/>
              </w:rPr>
              <w:t>Nhà máy chiết suất tinh dầu quế Phố Ràng (Dự án thành phần 2- chế biến sâu) của Công ty TNHH MTV Triều Dương (Công nghệ chưng cất phân đoạn và công nghệ thủy phân Cinnamaldehyde thành Benzaldehyde tự nhiên)</w:t>
            </w:r>
          </w:p>
        </w:tc>
        <w:tc>
          <w:tcPr>
            <w:tcW w:w="326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bCs/>
                <w:color w:val="000000"/>
                <w:kern w:val="2"/>
                <w:sz w:val="26"/>
                <w:szCs w:val="26"/>
                <w:lang w:eastAsia="en-US"/>
              </w:rPr>
              <w:t>Cụm TTCN Phố Ràng (nay thuộc xã Bảo Yên, tỉnh Lào Cai)</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Cs/>
                <w:color w:val="000000"/>
                <w:kern w:val="2"/>
                <w:sz w:val="26"/>
                <w:szCs w:val="26"/>
                <w:lang w:eastAsia="en-US"/>
              </w:rPr>
            </w:pPr>
            <w:r>
              <w:rPr>
                <w:rFonts w:eastAsia="Calibri" w:cs="Times New Roman" w:ascii="Times New Roman" w:hAnsi="Times New Roman"/>
                <w:bCs/>
                <w:color w:val="000000"/>
                <w:kern w:val="2"/>
                <w:sz w:val="26"/>
                <w:szCs w:val="26"/>
                <w:lang w:eastAsia="en-US"/>
              </w:rPr>
              <w:t>Sản phẩm chính: Tinh dầu quế, Benzaldehyde tự nhiên hàm lượng ≥99%;</w:t>
            </w:r>
          </w:p>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bCs/>
                <w:color w:val="000000"/>
                <w:kern w:val="2"/>
                <w:sz w:val="26"/>
                <w:szCs w:val="26"/>
                <w:lang w:eastAsia="en-US"/>
              </w:rPr>
              <w:t>SP khác: Cinnamaldehyde ≥ 95% và các sản phẩm thu được trong quy trình sản xuất Benzaldehyde</w:t>
            </w:r>
          </w:p>
        </w:tc>
        <w:tc>
          <w:tcPr>
            <w:tcW w:w="453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
                <w:bCs/>
                <w:color w:val="000000"/>
                <w:kern w:val="2"/>
                <w:sz w:val="26"/>
                <w:szCs w:val="26"/>
                <w:lang w:eastAsia="en-US"/>
              </w:rPr>
            </w:pPr>
            <w:r>
              <w:rPr>
                <w:rFonts w:eastAsia="Calibri" w:cs="Times New Roman" w:ascii="Times New Roman" w:hAnsi="Times New Roman"/>
                <w:bCs/>
                <w:color w:val="000000"/>
                <w:kern w:val="2"/>
                <w:sz w:val="26"/>
                <w:szCs w:val="26"/>
                <w:lang w:eastAsia="en-US"/>
              </w:rPr>
              <w:t>210 tấn Benzaldehyde tự nhiên hàm lượng ≥99%.</w:t>
            </w:r>
          </w:p>
        </w:tc>
      </w:tr>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Cs/>
                <w:color w:val="000000"/>
                <w:kern w:val="2"/>
                <w:sz w:val="26"/>
                <w:szCs w:val="26"/>
                <w:lang w:eastAsia="en-US"/>
              </w:rPr>
            </w:pPr>
            <w:r>
              <w:rPr>
                <w:rFonts w:eastAsia="Calibri" w:cs="Times New Roman" w:ascii="Times New Roman" w:hAnsi="Times New Roman"/>
                <w:bCs/>
                <w:color w:val="000000"/>
                <w:kern w:val="2"/>
                <w:sz w:val="26"/>
                <w:szCs w:val="26"/>
                <w:lang w:eastAsia="en-US"/>
              </w:rPr>
              <w:t>6</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both"/>
              <w:rPr/>
            </w:pPr>
            <w:r>
              <w:rPr>
                <w:rFonts w:eastAsia="Calibri" w:cs="Times New Roman" w:ascii="Times New Roman" w:hAnsi="Times New Roman"/>
                <w:bCs/>
                <w:color w:val="000000"/>
                <w:kern w:val="2"/>
                <w:sz w:val="26"/>
                <w:szCs w:val="26"/>
                <w:lang w:eastAsia="en-US"/>
              </w:rPr>
              <w:t>Nhà máy phân lân nung chảy công suất 100.000 tấn/năm (có bổ sung thêm Dây chuyền sản xuất phân bón NPK năm 2025) của Công ty Cổ phần phân lân nung chảy Lào Cai</w:t>
            </w:r>
          </w:p>
        </w:tc>
        <w:tc>
          <w:tcPr>
            <w:tcW w:w="326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Cs/>
                <w:color w:val="000000"/>
                <w:kern w:val="2"/>
                <w:sz w:val="26"/>
                <w:szCs w:val="26"/>
                <w:lang w:eastAsia="en-US"/>
              </w:rPr>
            </w:pPr>
            <w:r>
              <w:rPr>
                <w:rFonts w:eastAsia="Calibri" w:cs="Times New Roman" w:ascii="Times New Roman" w:hAnsi="Times New Roman"/>
                <w:bCs/>
                <w:color w:val="000000"/>
                <w:kern w:val="2"/>
                <w:sz w:val="26"/>
                <w:szCs w:val="26"/>
                <w:lang w:eastAsia="en-US"/>
              </w:rPr>
              <w:t>Xã Bảo Hà, tỉnh Lào Cai</w:t>
            </w:r>
          </w:p>
        </w:tc>
        <w:tc>
          <w:tcPr>
            <w:tcW w:w="340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Cs/>
                <w:color w:val="000000"/>
                <w:kern w:val="2"/>
                <w:sz w:val="26"/>
                <w:szCs w:val="26"/>
                <w:lang w:eastAsia="en-US"/>
              </w:rPr>
            </w:pPr>
            <w:r>
              <w:rPr>
                <w:rFonts w:eastAsia="Calibri" w:cs="Times New Roman" w:ascii="Times New Roman" w:hAnsi="Times New Roman"/>
                <w:bCs/>
                <w:color w:val="000000"/>
                <w:kern w:val="2"/>
                <w:sz w:val="26"/>
                <w:szCs w:val="26"/>
                <w:lang w:eastAsia="en-US"/>
              </w:rPr>
              <w:t>Sản phẩm chính: Phân lân nung chảy, Phân bón NPK</w:t>
            </w:r>
          </w:p>
        </w:tc>
        <w:tc>
          <w:tcPr>
            <w:tcW w:w="453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Cs/>
                <w:color w:val="000000"/>
                <w:kern w:val="2"/>
                <w:sz w:val="26"/>
                <w:szCs w:val="26"/>
                <w:lang w:eastAsia="en-US"/>
              </w:rPr>
            </w:pPr>
            <w:r>
              <w:rPr>
                <w:rFonts w:eastAsia="Calibri" w:cs="Times New Roman" w:ascii="Times New Roman" w:hAnsi="Times New Roman"/>
                <w:bCs/>
                <w:color w:val="000000"/>
                <w:kern w:val="2"/>
                <w:sz w:val="26"/>
                <w:szCs w:val="26"/>
                <w:lang w:eastAsia="en-US"/>
              </w:rPr>
              <w:t>100N tấn phân lân/năm; 50 N tấn NPK/năm</w:t>
            </w:r>
          </w:p>
        </w:tc>
      </w:tr>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Cs/>
                <w:color w:val="000000"/>
                <w:kern w:val="2"/>
                <w:sz w:val="26"/>
                <w:szCs w:val="26"/>
                <w:lang w:eastAsia="en-US"/>
              </w:rPr>
            </w:pPr>
            <w:r>
              <w:rPr>
                <w:rFonts w:eastAsia="Calibri" w:cs="Times New Roman" w:ascii="Times New Roman" w:hAnsi="Times New Roman"/>
                <w:bCs/>
                <w:color w:val="000000"/>
                <w:kern w:val="2"/>
                <w:sz w:val="26"/>
                <w:szCs w:val="26"/>
                <w:lang w:eastAsia="en-US"/>
              </w:rPr>
              <w:t>7</w:t>
            </w:r>
          </w:p>
        </w:tc>
        <w:tc>
          <w:tcPr>
            <w:tcW w:w="31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both"/>
              <w:rPr>
                <w:rFonts w:ascii="Times New Roman" w:hAnsi="Times New Roman" w:eastAsia="Calibri" w:cs="Times New Roman"/>
                <w:bCs/>
                <w:color w:val="000000"/>
                <w:kern w:val="2"/>
                <w:sz w:val="26"/>
                <w:szCs w:val="26"/>
                <w:lang w:eastAsia="en-US"/>
              </w:rPr>
            </w:pPr>
            <w:r>
              <w:rPr>
                <w:rFonts w:eastAsia="Arial" w:cs="Times New Roman" w:ascii="Times New Roman" w:hAnsi="Times New Roman"/>
                <w:iCs/>
                <w:color w:val="000000"/>
                <w:kern w:val="2"/>
                <w:sz w:val="26"/>
                <w:szCs w:val="26"/>
                <w:lang w:val="vi-VN" w:eastAsia="en-US"/>
              </w:rPr>
              <w:t>Nhà máy sản xuất thuốc và sản phẩm chăm sóc sức khỏe</w:t>
              <w:br/>
              <w:t xml:space="preserve">(Dự án đã được cấp </w:t>
            </w:r>
            <w:r>
              <w:rPr>
                <w:rFonts w:eastAsia="Arial" w:cs="Times New Roman" w:ascii="Times New Roman" w:hAnsi="Times New Roman"/>
                <w:iCs/>
                <w:color w:val="000000"/>
                <w:kern w:val="2"/>
                <w:sz w:val="26"/>
                <w:szCs w:val="26"/>
                <w:lang w:eastAsia="en-US"/>
              </w:rPr>
              <w:t>c</w:t>
            </w:r>
            <w:r>
              <w:rPr>
                <w:rFonts w:eastAsia="Arial" w:cs="Times New Roman" w:ascii="Times New Roman" w:hAnsi="Times New Roman"/>
                <w:iCs/>
                <w:color w:val="000000"/>
                <w:kern w:val="2"/>
                <w:sz w:val="26"/>
                <w:szCs w:val="26"/>
                <w:lang w:val="vi-VN" w:eastAsia="en-US"/>
              </w:rPr>
              <w:t>hủ trương đầu tư – đang trong quá trình đầu tư xây dựng)</w:t>
            </w:r>
          </w:p>
        </w:tc>
        <w:tc>
          <w:tcPr>
            <w:tcW w:w="3260"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false"/>
              <w:spacing w:before="120" w:after="120"/>
              <w:jc w:val="center"/>
              <w:rPr>
                <w:rFonts w:ascii="Times New Roman" w:hAnsi="Times New Roman" w:eastAsia="Calibri" w:cs="Times New Roman"/>
                <w:bCs/>
                <w:color w:val="000000"/>
                <w:kern w:val="2"/>
                <w:sz w:val="26"/>
                <w:szCs w:val="26"/>
                <w:lang w:eastAsia="en-US"/>
              </w:rPr>
            </w:pPr>
            <w:r>
              <w:rPr>
                <w:rFonts w:eastAsia="Arial" w:cs="Times New Roman" w:ascii="Times New Roman" w:hAnsi="Times New Roman"/>
                <w:iCs/>
                <w:color w:val="000000"/>
                <w:kern w:val="2"/>
                <w:sz w:val="26"/>
                <w:szCs w:val="26"/>
                <w:lang w:val="vi-VN" w:eastAsia="en-US"/>
              </w:rPr>
              <w:t>Lô A1 và A2 - Khu công nghiệp Âu Lâu, xã Âu Lâu, thành phố Yên Bái, tỉnh Yên Bái (</w:t>
            </w:r>
            <w:r>
              <w:rPr>
                <w:rFonts w:eastAsia="Arial" w:cs="Times New Roman" w:ascii="Times New Roman" w:hAnsi="Times New Roman"/>
                <w:iCs/>
                <w:color w:val="000000"/>
                <w:kern w:val="2"/>
                <w:sz w:val="26"/>
                <w:szCs w:val="26"/>
                <w:lang w:eastAsia="en-US"/>
              </w:rPr>
              <w:t>n</w:t>
            </w:r>
            <w:r>
              <w:rPr>
                <w:rFonts w:eastAsia="Arial" w:cs="Times New Roman" w:ascii="Times New Roman" w:hAnsi="Times New Roman"/>
                <w:iCs/>
                <w:color w:val="000000"/>
                <w:kern w:val="2"/>
                <w:sz w:val="26"/>
                <w:szCs w:val="26"/>
                <w:lang w:val="vi-VN" w:eastAsia="en-US"/>
              </w:rPr>
              <w:t>ay là phường Âu Lâu, tỉnh Lào Cai).</w:t>
            </w:r>
          </w:p>
        </w:tc>
        <w:tc>
          <w:tcPr>
            <w:tcW w:w="3402" w:type="dxa"/>
            <w:tcBorders>
              <w:top w:val="single" w:sz="4" w:space="0" w:color="000000"/>
              <w:start w:val="single" w:sz="4" w:space="0" w:color="000000"/>
              <w:bottom w:val="single" w:sz="4" w:space="0" w:color="000000"/>
              <w:end w:val="single" w:sz="4" w:space="0" w:color="000000"/>
            </w:tcBorders>
          </w:tcPr>
          <w:p>
            <w:pPr>
              <w:pStyle w:val="Normal"/>
              <w:widowControl w:val="false"/>
              <w:spacing w:before="80" w:after="80"/>
              <w:jc w:val="both"/>
              <w:rPr/>
            </w:pPr>
            <w:r>
              <w:rPr>
                <w:rFonts w:cs="Times New Roman" w:ascii="Times New Roman" w:hAnsi="Times New Roman"/>
                <w:iCs/>
                <w:color w:val="000000"/>
                <w:sz w:val="26"/>
                <w:szCs w:val="26"/>
              </w:rPr>
              <w:t>- Sản xuất thuốc (Thuốc dược liệu, thuốc cổ truyền, dược liệu, bán thành phẩm dược liệu…): Sản xuất thuốc, hóa dược, dược liệu (Hoạt động chính).</w:t>
            </w:r>
          </w:p>
          <w:p>
            <w:pPr>
              <w:pStyle w:val="Normal"/>
              <w:widowControl w:val="false"/>
              <w:spacing w:before="80" w:after="80"/>
              <w:jc w:val="both"/>
              <w:rPr/>
            </w:pPr>
            <w:r>
              <w:rPr>
                <w:rFonts w:cs="Times New Roman" w:ascii="Times New Roman" w:hAnsi="Times New Roman"/>
                <w:iCs/>
                <w:color w:val="000000"/>
                <w:sz w:val="26"/>
                <w:szCs w:val="26"/>
              </w:rPr>
              <w:t>- Sản xuất mỹ phẩm: Sản xuất mỹ phẩm, xà phòng, chất tẩy rửa, làm bóng và chế phẩm vệ sinh; Sản xuất thực phẩm bảo vệ sức khỏe (TPBVSK): Sản xuất thực phẩm khác chưa được phân vào đâu. Sản xuất thiết bị y tế: Sản xuất thiết bị y tế, dụng cụ y tế, nha khoa, chỉnh hình và phục hồi chức năng; Dịch vụ cho thuê kho GSP: Kho bãi và lưu giữ hàng hóa; Nuôi cấy, nhân giống, sản xuất cây giống dược liệu: Trồng cây hàng năm khác.</w:t>
            </w:r>
          </w:p>
          <w:p>
            <w:pPr>
              <w:pStyle w:val="Normal"/>
              <w:suppressAutoHyphens w:val="false"/>
              <w:spacing w:before="120" w:after="120"/>
              <w:jc w:val="center"/>
              <w:rPr>
                <w:rFonts w:ascii="Times New Roman" w:hAnsi="Times New Roman" w:eastAsia="Calibri" w:cs="Times New Roman"/>
                <w:bCs/>
                <w:iCs/>
                <w:color w:val="000000"/>
                <w:kern w:val="2"/>
                <w:sz w:val="26"/>
                <w:szCs w:val="26"/>
                <w:lang w:eastAsia="en-US"/>
              </w:rPr>
            </w:pPr>
            <w:r>
              <w:rPr>
                <w:rFonts w:eastAsia="Calibri" w:cs="Times New Roman" w:ascii="Times New Roman" w:hAnsi="Times New Roman"/>
                <w:bCs/>
                <w:iCs/>
                <w:color w:val="000000"/>
                <w:kern w:val="2"/>
                <w:sz w:val="26"/>
                <w:szCs w:val="26"/>
                <w:lang w:eastAsia="en-US"/>
              </w:rPr>
            </w:r>
          </w:p>
        </w:tc>
        <w:tc>
          <w:tcPr>
            <w:tcW w:w="453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uppressAutoHyphens w:val="false"/>
              <w:spacing w:before="80" w:after="80"/>
              <w:jc w:val="both"/>
              <w:rPr>
                <w:rFonts w:ascii="Times New Roman" w:hAnsi="Times New Roman" w:eastAsia="Arial" w:cs="Times New Roman"/>
                <w:iCs/>
                <w:color w:val="000000"/>
                <w:kern w:val="2"/>
                <w:sz w:val="26"/>
                <w:szCs w:val="26"/>
                <w:lang w:eastAsia="en-US"/>
              </w:rPr>
            </w:pPr>
            <w:r>
              <w:rPr>
                <w:rFonts w:eastAsia="Arial" w:cs="Times New Roman" w:ascii="Times New Roman" w:hAnsi="Times New Roman"/>
                <w:iCs/>
                <w:color w:val="000000"/>
                <w:kern w:val="2"/>
                <w:sz w:val="26"/>
                <w:szCs w:val="26"/>
                <w:lang w:val="vi-VN" w:eastAsia="en-US"/>
              </w:rPr>
              <w:t>Công suất thiết kế:</w:t>
            </w:r>
          </w:p>
          <w:p>
            <w:pPr>
              <w:pStyle w:val="Normal"/>
              <w:widowControl w:val="false"/>
              <w:suppressAutoHyphens w:val="false"/>
              <w:spacing w:before="80" w:after="80"/>
              <w:jc w:val="both"/>
              <w:rPr>
                <w:rFonts w:ascii="Times New Roman" w:hAnsi="Times New Roman" w:eastAsia="Arial" w:cs="Times New Roman"/>
                <w:iCs/>
                <w:color w:val="000000"/>
                <w:kern w:val="2"/>
                <w:sz w:val="26"/>
                <w:szCs w:val="26"/>
                <w:lang w:eastAsia="en-US"/>
              </w:rPr>
            </w:pPr>
            <w:r>
              <w:rPr>
                <w:rFonts w:eastAsia="Arial" w:cs="Times New Roman" w:ascii="Times New Roman" w:hAnsi="Times New Roman"/>
                <w:iCs/>
                <w:color w:val="000000"/>
                <w:kern w:val="2"/>
                <w:sz w:val="26"/>
                <w:szCs w:val="26"/>
                <w:lang w:eastAsia="en-US"/>
              </w:rPr>
              <w:t xml:space="preserve">- </w:t>
            </w:r>
            <w:r>
              <w:rPr>
                <w:rFonts w:eastAsia="Arial" w:cs="Times New Roman" w:ascii="Times New Roman" w:hAnsi="Times New Roman"/>
                <w:iCs/>
                <w:color w:val="000000"/>
                <w:kern w:val="2"/>
                <w:sz w:val="26"/>
                <w:szCs w:val="26"/>
                <w:lang w:val="vi-VN" w:eastAsia="en-US"/>
              </w:rPr>
              <w:t>Giai đoạn 1: 98.037.000 sản phẩm/năm (tương đương 420,9 tấn/năm)</w:t>
            </w:r>
            <w:r>
              <w:rPr>
                <w:rFonts w:eastAsia="Arial" w:cs="Times New Roman" w:ascii="Times New Roman" w:hAnsi="Times New Roman"/>
                <w:iCs/>
                <w:color w:val="000000"/>
                <w:kern w:val="2"/>
                <w:sz w:val="26"/>
                <w:szCs w:val="26"/>
                <w:lang w:eastAsia="en-US"/>
              </w:rPr>
              <w:t>,</w:t>
            </w:r>
            <w:r>
              <w:rPr>
                <w:rFonts w:eastAsia="Arial" w:cs="Times New Roman" w:ascii="Times New Roman" w:hAnsi="Times New Roman"/>
                <w:iCs/>
                <w:color w:val="000000"/>
                <w:kern w:val="2"/>
                <w:sz w:val="26"/>
                <w:szCs w:val="26"/>
                <w:lang w:val="vi-VN" w:eastAsia="en-US"/>
              </w:rPr>
              <w:t xml:space="preserve"> trong đó: Nhóm bán hàng thành phẩm dược liệu và dược liệu là 264.000 sản phẩm/năm; nhóm thuốc dược liệu và thuốc cổ truyền là 52.971.000 sản phẩm/năm; nhóm </w:t>
            </w:r>
            <w:r>
              <w:rPr>
                <w:rFonts w:eastAsia="Arial" w:cs="Times New Roman" w:ascii="Times New Roman" w:hAnsi="Times New Roman"/>
                <w:iCs/>
                <w:color w:val="000000"/>
                <w:kern w:val="2"/>
                <w:sz w:val="26"/>
                <w:szCs w:val="26"/>
                <w:lang w:eastAsia="en-US"/>
              </w:rPr>
              <w:t>TPBVSK</w:t>
            </w:r>
            <w:r>
              <w:rPr>
                <w:rFonts w:eastAsia="Arial" w:cs="Times New Roman" w:ascii="Times New Roman" w:hAnsi="Times New Roman"/>
                <w:iCs/>
                <w:color w:val="000000"/>
                <w:kern w:val="2"/>
                <w:sz w:val="26"/>
                <w:szCs w:val="26"/>
                <w:lang w:val="vi-VN" w:eastAsia="en-US"/>
              </w:rPr>
              <w:t xml:space="preserve"> là 44.802.000 sản phẩm/năm;…</w:t>
            </w:r>
          </w:p>
          <w:p>
            <w:pPr>
              <w:pStyle w:val="Normal"/>
              <w:widowControl w:val="false"/>
              <w:suppressAutoHyphens w:val="false"/>
              <w:spacing w:before="80" w:after="80"/>
              <w:jc w:val="both"/>
              <w:rPr>
                <w:rFonts w:ascii="Times New Roman" w:hAnsi="Times New Roman" w:eastAsia="Arial" w:cs="Times New Roman"/>
                <w:iCs/>
                <w:color w:val="000000"/>
                <w:kern w:val="2"/>
                <w:sz w:val="26"/>
                <w:szCs w:val="26"/>
                <w:lang w:eastAsia="en-US"/>
              </w:rPr>
            </w:pPr>
            <w:r>
              <w:rPr>
                <w:rFonts w:eastAsia="Arial" w:cs="Times New Roman" w:ascii="Times New Roman" w:hAnsi="Times New Roman"/>
                <w:iCs/>
                <w:color w:val="000000"/>
                <w:kern w:val="2"/>
                <w:sz w:val="26"/>
                <w:szCs w:val="26"/>
                <w:lang w:eastAsia="en-US"/>
              </w:rPr>
              <w:t xml:space="preserve">- </w:t>
            </w:r>
            <w:r>
              <w:rPr>
                <w:rFonts w:eastAsia="Arial" w:cs="Times New Roman" w:ascii="Times New Roman" w:hAnsi="Times New Roman"/>
                <w:iCs/>
                <w:color w:val="000000"/>
                <w:kern w:val="2"/>
                <w:sz w:val="26"/>
                <w:szCs w:val="26"/>
                <w:lang w:val="vi-VN" w:eastAsia="en-US"/>
              </w:rPr>
              <w:t>Giai đoạn 2: 20.871.000 sản phẩm/năm (tương đương 164 tấn/năm)</w:t>
            </w:r>
            <w:r>
              <w:rPr>
                <w:rFonts w:eastAsia="Arial" w:cs="Times New Roman" w:ascii="Times New Roman" w:hAnsi="Times New Roman"/>
                <w:iCs/>
                <w:color w:val="000000"/>
                <w:kern w:val="2"/>
                <w:sz w:val="26"/>
                <w:szCs w:val="26"/>
                <w:lang w:eastAsia="en-US"/>
              </w:rPr>
              <w:t>,</w:t>
            </w:r>
            <w:r>
              <w:rPr>
                <w:rFonts w:eastAsia="Arial" w:cs="Times New Roman" w:ascii="Times New Roman" w:hAnsi="Times New Roman"/>
                <w:iCs/>
                <w:color w:val="000000"/>
                <w:kern w:val="2"/>
                <w:sz w:val="26"/>
                <w:szCs w:val="26"/>
                <w:lang w:val="vi-VN" w:eastAsia="en-US"/>
              </w:rPr>
              <w:t xml:space="preserve"> trong đó: Nhóm mỹ phẩm là 708.000 sản phẩm/năm; nhóm thiết bị y tế là 1.298.000 sản phẩm/năm; nhóm cây giống là 18.865.000 sản phẩm/năm;…</w:t>
            </w:r>
          </w:p>
          <w:p>
            <w:pPr>
              <w:pStyle w:val="Normal"/>
              <w:suppressAutoHyphens w:val="false"/>
              <w:spacing w:before="120" w:after="120"/>
              <w:jc w:val="center"/>
              <w:rPr>
                <w:rFonts w:ascii="Times New Roman" w:hAnsi="Times New Roman" w:eastAsia="Calibri" w:cs="Times New Roman"/>
                <w:bCs/>
                <w:iCs/>
                <w:color w:val="000000"/>
                <w:kern w:val="2"/>
                <w:sz w:val="26"/>
                <w:szCs w:val="26"/>
                <w:lang w:eastAsia="en-US"/>
              </w:rPr>
            </w:pPr>
            <w:r>
              <w:rPr>
                <w:rFonts w:eastAsia="Calibri" w:cs="Times New Roman" w:ascii="Times New Roman" w:hAnsi="Times New Roman"/>
                <w:bCs/>
                <w:iCs/>
                <w:color w:val="000000"/>
                <w:kern w:val="2"/>
                <w:sz w:val="26"/>
                <w:szCs w:val="26"/>
                <w:lang w:eastAsia="en-US"/>
              </w:rPr>
            </w:r>
          </w:p>
        </w:tc>
      </w:tr>
    </w:tbl>
    <w:p>
      <w:pPr>
        <w:pStyle w:val="Normal"/>
        <w:suppressAutoHyphens w:val="false"/>
        <w:jc w:val="both"/>
        <w:rPr>
          <w:rFonts w:ascii="Times New Roman" w:hAnsi="Times New Roman" w:eastAsia="Calibri" w:cs="Times New Roman"/>
          <w:b/>
          <w:bCs/>
          <w:color w:val="000000"/>
          <w:kern w:val="2"/>
          <w:lang w:eastAsia="en-US"/>
        </w:rPr>
      </w:pPr>
      <w:r>
        <w:rPr>
          <w:rFonts w:eastAsia="Calibri" w:cs="Times New Roman" w:ascii="Times New Roman" w:hAnsi="Times New Roman"/>
          <w:b/>
          <w:bCs/>
          <w:color w:val="000000"/>
          <w:kern w:val="2"/>
          <w:lang w:eastAsia="en-US"/>
        </w:rPr>
      </w:r>
    </w:p>
    <w:p>
      <w:pPr>
        <w:pStyle w:val="Normal"/>
        <w:spacing w:before="120" w:after="0"/>
        <w:jc w:val="both"/>
        <w:rPr>
          <w:vanish/>
          <w:sz w:val="20"/>
        </w:rPr>
      </w:pPr>
      <w:r>
        <w:rPr>
          <w:vanish/>
          <w:sz w:val="20"/>
        </w:rPr>
      </w:r>
      <w:bookmarkStart w:id="0" w:name="_PictureBullets"/>
      <w:bookmarkStart w:id="1" w:name="_PictureBullets"/>
      <w:bookmarkEnd w:id="1"/>
    </w:p>
    <w:sectPr>
      <w:headerReference w:type="default" r:id="rId4"/>
      <w:headerReference w:type="first" r:id="rId5"/>
      <w:type w:val="nextPage"/>
      <w:pgSz w:orient="landscape" w:w="16838" w:h="11906"/>
      <w:pgMar w:left="1134" w:right="1134" w:gutter="0" w:header="720" w:top="1701" w:footer="0" w:bottom="851"/>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VNI-Times">
    <w:charset w:val="00" w:characterSet="windows-1252"/>
    <w:family w:val="auto"/>
    <w:pitch w:val="variable"/>
  </w:font>
  <w:font w:name="Courier New">
    <w:charset w:val="00" w:characterSet="windows-1252"/>
    <w:family w:val="modern"/>
    <w:pitch w:val="default"/>
  </w:font>
  <w:font w:name="Wingdings">
    <w:charset w:val="02"/>
    <w:family w:val="auto"/>
    <w:pitch w:val="variable"/>
  </w:font>
  <w:font w:name=".VnTime">
    <w:charset w:val="00" w:characterSet="windows-1252"/>
    <w:family w:val="swiss"/>
    <w:pitch w:val="variable"/>
  </w:font>
  <w:font w:name="OpenSymbol">
    <w:altName w:val="Arial Unicode MS"/>
    <w:charset w:val="80"/>
    <w:family w:val="auto"/>
    <w:pitch w:val="default"/>
  </w:font>
  <w:font w:name="TimesNewRomanPS-BoldMT">
    <w:altName w:val="Times New Roman"/>
    <w:charset w:val="00" w:characterSet="windows-1252"/>
    <w:family w:val="roman"/>
    <w:pitch w:val="default"/>
  </w:font>
  <w:font w:name="TimesNewRomanPSMT">
    <w:altName w:val="Times New Roman"/>
    <w:charset w:val="00" w:characterSet="windows-1252"/>
    <w:family w:val="roman"/>
    <w:pitch w:val="default"/>
  </w:font>
  <w:font w:name="TimesNewRomanPS-ItalicMT">
    <w:altName w:val="Times New Roman"/>
    <w:charset w:val="00" w:characterSet="windows-1252"/>
    <w:family w:val="roman"/>
    <w:pitch w:val="default"/>
  </w:font>
  <w:font w:name="Tahoma">
    <w:charset w:val="00" w:characterSet="windows-1252"/>
    <w:family w:val="swiss"/>
    <w:pitch w:val="variable"/>
  </w:font>
  <w:font w:name="Verdana">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4</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7</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432" w:hanging="432"/>
      </w:pPr>
    </w:lvl>
    <w:lvl w:ilvl="1">
      <w:start w:val="1"/>
      <w:pStyle w:val="Heading2"/>
      <w:numFmt w:val="none"/>
      <w:suff w:val="nothing"/>
      <w:lvlText w:val=""/>
      <w:lvlJc w:val="start"/>
      <w:pPr>
        <w:tabs>
          <w:tab w:val="num" w:pos="0"/>
        </w:tabs>
        <w:ind w:start="576" w:hanging="576"/>
      </w:pPr>
    </w:lvl>
    <w:lvl w:ilvl="2">
      <w:start w:val="1"/>
      <w:pStyle w:val="Heading3"/>
      <w:numFmt w:val="none"/>
      <w:suff w:val="nothing"/>
      <w:lvlText w:val=""/>
      <w:lvlJc w:val="start"/>
      <w:pPr>
        <w:tabs>
          <w:tab w:val="num" w:pos="0"/>
        </w:tabs>
        <w:ind w:start="720" w:hanging="720"/>
      </w:pPr>
    </w:lvl>
    <w:lvl w:ilvl="3">
      <w:start w:val="1"/>
      <w:pStyle w:val="Heading4"/>
      <w:numFmt w:val="none"/>
      <w:suff w:val="nothing"/>
      <w:lvlText w:val=""/>
      <w:lvlJc w:val="start"/>
      <w:pPr>
        <w:tabs>
          <w:tab w:val="num" w:pos="0"/>
        </w:tabs>
        <w:ind w:start="864" w:hanging="864"/>
      </w:pPr>
    </w:lvl>
    <w:lvl w:ilvl="4">
      <w:start w:val="1"/>
      <w:pStyle w:val="Heading5"/>
      <w:numFmt w:val="none"/>
      <w:suff w:val="nothing"/>
      <w:lvlText w:val=""/>
      <w:lvlJc w:val="start"/>
      <w:pPr>
        <w:tabs>
          <w:tab w:val="num" w:pos="0"/>
        </w:tabs>
        <w:ind w:start="1008" w:hanging="1008"/>
      </w:pPr>
    </w:lvl>
    <w:lvl w:ilvl="5">
      <w:start w:val="1"/>
      <w:numFmt w:val="none"/>
      <w:suff w:val="nothing"/>
      <w:lvlText w:val=""/>
      <w:lvlJc w:val="start"/>
      <w:pPr>
        <w:tabs>
          <w:tab w:val="num" w:pos="0"/>
        </w:tabs>
        <w:ind w:start="1152" w:hanging="1152"/>
      </w:pPr>
    </w:lvl>
    <w:lvl w:ilvl="6">
      <w:start w:val="1"/>
      <w:numFmt w:val="none"/>
      <w:suff w:val="nothing"/>
      <w:lvlText w:val=""/>
      <w:lvlJc w:val="start"/>
      <w:pPr>
        <w:tabs>
          <w:tab w:val="num" w:pos="0"/>
        </w:tabs>
        <w:ind w:start="1296" w:hanging="1296"/>
      </w:pPr>
    </w:lvl>
    <w:lvl w:ilvl="7">
      <w:start w:val="1"/>
      <w:numFmt w:val="none"/>
      <w:suff w:val="nothing"/>
      <w:lvlText w:val=""/>
      <w:lvlJc w:val="start"/>
      <w:pPr>
        <w:tabs>
          <w:tab w:val="num" w:pos="0"/>
        </w:tabs>
        <w:ind w:start="1440" w:hanging="1440"/>
      </w:pPr>
    </w:lvl>
    <w:lvl w:ilvl="8">
      <w:start w:val="1"/>
      <w:numFmt w:val="none"/>
      <w:suff w:val="nothing"/>
      <w:lvlText w:val=""/>
      <w:lvlJc w:val="start"/>
      <w:pPr>
        <w:tabs>
          <w:tab w:val="num" w:pos="0"/>
        </w:tabs>
        <w:ind w:start="1584" w:hanging="1584"/>
      </w:pPr>
    </w:lvl>
  </w:abstractNum>
  <w:num w:numId="1">
    <w:abstractNumId w:val="1"/>
  </w:num>
</w:numbering>
</file>

<file path=word/settings.xml><?xml version="1.0" encoding="utf-8"?>
<w:settings xmlns:w="http://schemas.openxmlformats.org/wordprocessingml/2006/main">
  <w:zoom w:percent="140"/>
  <w:revisionView w:insDel="0" w:formatting="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VNI-Times" w:hAnsi="VNI-Times" w:eastAsia="Times New Roman" w:cs="VNI-Times"/>
      <w:color w:val="000080"/>
      <w:sz w:val="28"/>
      <w:szCs w:val="28"/>
      <w:lang w:val="en-US" w:bidi="ar-SA" w:eastAsia="zh-CN"/>
    </w:rPr>
  </w:style>
  <w:style w:type="paragraph" w:styleId="Heading1">
    <w:name w:val="Heading 1"/>
    <w:basedOn w:val="Normal"/>
    <w:next w:val="Normal"/>
    <w:qFormat/>
    <w:pPr>
      <w:keepNext w:val="true"/>
      <w:numPr>
        <w:ilvl w:val="0"/>
        <w:numId w:val="1"/>
      </w:numPr>
      <w:jc w:val="center"/>
      <w:outlineLvl w:val="0"/>
    </w:pPr>
    <w:rPr>
      <w:rFonts w:ascii="Times New Roman" w:hAnsi="Times New Roman" w:cs="Times New Roman"/>
      <w:b/>
      <w:bCs/>
      <w:sz w:val="32"/>
    </w:rPr>
  </w:style>
  <w:style w:type="paragraph" w:styleId="Heading2">
    <w:name w:val="Heading 2"/>
    <w:basedOn w:val="Normal"/>
    <w:next w:val="Normal"/>
    <w:qFormat/>
    <w:pPr>
      <w:keepNext w:val="true"/>
      <w:numPr>
        <w:ilvl w:val="1"/>
        <w:numId w:val="1"/>
      </w:numPr>
      <w:ind w:firstLine="720" w:start="0" w:end="0"/>
      <w:jc w:val="both"/>
      <w:outlineLvl w:val="1"/>
    </w:pPr>
    <w:rPr>
      <w:b/>
      <w:color w:val="000000"/>
      <w:szCs w:val="20"/>
      <w:u w:val="single"/>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jc w:val="center"/>
      <w:outlineLvl w:val="3"/>
    </w:pPr>
    <w:rPr>
      <w:b/>
      <w:color w:val="000000"/>
      <w:sz w:val="30"/>
      <w:szCs w:val="30"/>
    </w:rPr>
  </w:style>
  <w:style w:type="paragraph" w:styleId="Heading5">
    <w:name w:val="Heading 5"/>
    <w:basedOn w:val="Normal"/>
    <w:next w:val="Normal"/>
    <w:qFormat/>
    <w:pPr>
      <w:keepNext w:val="true"/>
      <w:numPr>
        <w:ilvl w:val="4"/>
        <w:numId w:val="1"/>
      </w:numPr>
      <w:jc w:val="center"/>
      <w:outlineLvl w:val="4"/>
    </w:pPr>
    <w:rPr>
      <w:b/>
      <w:color w:val="000000"/>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VNI-Times" w:hAnsi="VNI-Times"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VNI-Times" w:hAnsi="VNI-Times"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sz w:val="20"/>
    </w:rPr>
  </w:style>
  <w:style w:type="character" w:styleId="WW8Num12z1">
    <w:name w:val="WW8Num12z1"/>
    <w:qFormat/>
    <w:rPr>
      <w:rFonts w:ascii="Courier New" w:hAnsi="Courier New" w:cs="Courier New"/>
      <w:sz w:val="20"/>
    </w:rPr>
  </w:style>
  <w:style w:type="character" w:styleId="WW8Num12z2">
    <w:name w:val="WW8Num12z2"/>
    <w:qFormat/>
    <w:rPr>
      <w:rFonts w:ascii="Wingdings" w:hAnsi="Wingdings" w:cs="Wingdings"/>
      <w:sz w:val="20"/>
    </w:rPr>
  </w:style>
  <w:style w:type="character" w:styleId="DefaultParagraphFont">
    <w:name w:val="Default Paragraph Font"/>
    <w:qFormat/>
    <w:rPr/>
  </w:style>
  <w:style w:type="character" w:styleId="WW-DefaultParagraphFont">
    <w:name w:val="WW-Default Paragraph Font"/>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Absatz-Standardschriftart111">
    <w:name w:val="WW-Absatz-Standardschriftart111"/>
    <w:qFormat/>
    <w:rPr/>
  </w:style>
  <w:style w:type="character" w:styleId="WW-Absatz-Standardschriftart1111">
    <w:name w:val="WW-Absatz-Standardschriftart1111"/>
    <w:qFormat/>
    <w:rPr/>
  </w:style>
  <w:style w:type="character" w:styleId="WW-Absatz-Standardschriftart11111">
    <w:name w:val="WW-Absatz-Standardschriftart11111"/>
    <w:qFormat/>
    <w:rPr/>
  </w:style>
  <w:style w:type="character" w:styleId="WW-Absatz-Standardschriftart111111">
    <w:name w:val="WW-Absatz-Standardschriftart111111"/>
    <w:qFormat/>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4z1">
    <w:name w:val="WW8Num4z1"/>
    <w:qFormat/>
    <w:rPr>
      <w:rFonts w:ascii="Wingdings" w:hAnsi="Wingdings" w:cs="Wingdings"/>
    </w:rPr>
  </w:style>
  <w:style w:type="character" w:styleId="WW8Num4z4">
    <w:name w:val="WW8Num4z4"/>
    <w:qFormat/>
    <w:rPr>
      <w:rFonts w:ascii="Courier New" w:hAnsi="Courier New" w:cs="Courier New"/>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3z0">
    <w:name w:val="WW8Num13z0"/>
    <w:qFormat/>
    <w:rPr>
      <w:rFonts w:ascii="Times New Roman" w:hAnsi="Times New Roman" w:eastAsia="Times New Roman" w:cs="Times New Roman"/>
      <w:b w:val="false"/>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DefaultParagraphFont1">
    <w:name w:val="WW-Default Paragraph Font1"/>
    <w:qFormat/>
    <w:rPr/>
  </w:style>
  <w:style w:type="character" w:styleId="PageNumber">
    <w:name w:val="Page Number"/>
    <w:basedOn w:val="WW-DefaultParagraphFont1"/>
    <w:rPr/>
  </w:style>
  <w:style w:type="character" w:styleId="Hyperlink">
    <w:name w:val="Hyperlink"/>
    <w:rPr>
      <w:color w:val="0000FF"/>
      <w:u w:val="single"/>
    </w:rPr>
  </w:style>
  <w:style w:type="character" w:styleId="Strong">
    <w:name w:val="Strong"/>
    <w:qFormat/>
    <w:rPr>
      <w:b/>
      <w:bCs/>
    </w:rPr>
  </w:style>
  <w:style w:type="character" w:styleId="Emphasis">
    <w:name w:val="Emphasis"/>
    <w:qFormat/>
    <w:rPr>
      <w:i/>
      <w:iCs/>
    </w:rPr>
  </w:style>
  <w:style w:type="character" w:styleId="normal-h1">
    <w:name w:val="normal-h1"/>
    <w:qFormat/>
    <w:rPr>
      <w:rFonts w:ascii=".VnTime" w:hAnsi=".VnTime" w:cs=".VnTime"/>
      <w:color w:val="0000FF"/>
      <w:sz w:val="24"/>
      <w:szCs w:val="24"/>
    </w:rPr>
  </w:style>
  <w:style w:type="character" w:styleId="BodyTextChar">
    <w:name w:val="Body Text Char"/>
    <w:qFormat/>
    <w:rPr>
      <w:rFonts w:ascii="VNI-Times" w:hAnsi="VNI-Times" w:cs="VNI-Times"/>
      <w:color w:val="000080"/>
      <w:sz w:val="28"/>
      <w:szCs w:val="28"/>
      <w:lang w:val="en-US" w:bidi="ar-SA"/>
    </w:rPr>
  </w:style>
  <w:style w:type="character" w:styleId="normal00200028web0029char">
    <w:name w:val="normal_0020_0028web_0029__char"/>
    <w:basedOn w:val="WW-DefaultParagraphFont1"/>
    <w:qFormat/>
    <w:rPr/>
  </w:style>
  <w:style w:type="character" w:styleId="CharChar">
    <w:name w:val=" Char Char"/>
    <w:qFormat/>
    <w:rPr>
      <w:rFonts w:ascii="VNI-Times" w:hAnsi="VNI-Times" w:cs="VNI-Times"/>
      <w:sz w:val="28"/>
      <w:lang w:val="en-US" w:bidi="ar-SA"/>
    </w:rPr>
  </w:style>
  <w:style w:type="character" w:styleId="Chmim">
    <w:name w:val="Chấm điểm"/>
    <w:qFormat/>
    <w:rPr>
      <w:rFonts w:ascii="OpenSymbol;Microsoft YaHei" w:hAnsi="OpenSymbol;Microsoft YaHei" w:eastAsia="OpenSymbol;Microsoft YaHei" w:cs="OpenSymbol;Microsoft YaHei"/>
    </w:rPr>
  </w:style>
  <w:style w:type="character" w:styleId="FontStyle17">
    <w:name w:val="Font Style17"/>
    <w:qFormat/>
    <w:rPr>
      <w:rFonts w:ascii="Times New Roman" w:hAnsi="Times New Roman" w:cs="Times New Roman"/>
      <w:b/>
      <w:bCs/>
      <w:color w:val="000000"/>
      <w:sz w:val="24"/>
      <w:szCs w:val="24"/>
    </w:rPr>
  </w:style>
  <w:style w:type="character" w:styleId="text">
    <w:name w:val="text"/>
    <w:basedOn w:val="DefaultParagraphFont"/>
    <w:qFormat/>
    <w:rPr/>
  </w:style>
  <w:style w:type="character" w:styleId="HeaderChar">
    <w:name w:val="Header Char"/>
    <w:qFormat/>
    <w:rPr>
      <w:rFonts w:ascii="VNI-Times" w:hAnsi="VNI-Times" w:cs="VNI-Times"/>
      <w:sz w:val="28"/>
    </w:rPr>
  </w:style>
  <w:style w:type="character" w:styleId="FootnoteCharacters">
    <w:name w:val="Footnote Characters"/>
    <w:qFormat/>
    <w:rPr>
      <w:vertAlign w:val="superscript"/>
    </w:rPr>
  </w:style>
  <w:style w:type="character" w:styleId="FootnoteTextChar">
    <w:name w:val="Footnote Text Char"/>
    <w:qFormat/>
    <w:rPr>
      <w:rFonts w:ascii="VNI-Times" w:hAnsi="VNI-Times" w:cs="VNI-Times"/>
      <w:color w:val="000080"/>
    </w:rPr>
  </w:style>
  <w:style w:type="character" w:styleId="FooterChar">
    <w:name w:val="Footer Char"/>
    <w:qFormat/>
    <w:rPr>
      <w:color w:val="000080"/>
      <w:sz w:val="24"/>
      <w:szCs w:val="24"/>
    </w:rPr>
  </w:style>
  <w:style w:type="character" w:styleId="fontstyle01">
    <w:name w:val="fontstyle01"/>
    <w:qFormat/>
    <w:rPr>
      <w:rFonts w:ascii="TimesNewRomanPS-BoldMT;Times New Roman" w:hAnsi="TimesNewRomanPS-BoldMT;Times New Roman" w:cs="TimesNewRomanPS-BoldMT;Times New Roman"/>
      <w:b/>
      <w:bCs/>
      <w:i w:val="false"/>
      <w:iCs w:val="false"/>
      <w:color w:val="000000"/>
      <w:sz w:val="28"/>
      <w:szCs w:val="28"/>
    </w:rPr>
  </w:style>
  <w:style w:type="character" w:styleId="fontstyle21">
    <w:name w:val="fontstyle21"/>
    <w:qFormat/>
    <w:rPr>
      <w:rFonts w:ascii="TimesNewRomanPSMT;Times New Roman" w:hAnsi="TimesNewRomanPSMT;Times New Roman" w:cs="TimesNewRomanPSMT;Times New Roman"/>
      <w:b w:val="false"/>
      <w:bCs w:val="false"/>
      <w:i w:val="false"/>
      <w:iCs w:val="false"/>
      <w:color w:val="000000"/>
      <w:sz w:val="28"/>
      <w:szCs w:val="28"/>
    </w:rPr>
  </w:style>
  <w:style w:type="character" w:styleId="fontstyle31">
    <w:name w:val="fontstyle31"/>
    <w:qFormat/>
    <w:rPr>
      <w:rFonts w:ascii="TimesNewRomanPS-ItalicMT;Times New Roman" w:hAnsi="TimesNewRomanPS-ItalicMT;Times New Roman" w:cs="TimesNewRomanPS-ItalicMT;Times New Roman"/>
      <w:b w:val="false"/>
      <w:bCs w:val="false"/>
      <w:i/>
      <w:iCs/>
      <w:color w:val="000000"/>
      <w:sz w:val="28"/>
      <w:szCs w:val="28"/>
    </w:rPr>
  </w:style>
  <w:style w:type="paragraph" w:styleId="Heading">
    <w:name w:val="Heading"/>
    <w:basedOn w:val="Normal"/>
    <w:next w:val="Subtitle"/>
    <w:qFormat/>
    <w:pPr>
      <w:jc w:val="center"/>
    </w:pPr>
    <w:rPr>
      <w:b/>
      <w:color w:val="000000"/>
      <w:szCs w:val="20"/>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u">
    <w:name w:val="Tiêu đề"/>
    <w:basedOn w:val="Normal"/>
    <w:next w:val="BodyText"/>
    <w:qFormat/>
    <w:pPr>
      <w:keepNext w:val="true"/>
      <w:spacing w:before="240" w:after="120"/>
    </w:pPr>
    <w:rPr>
      <w:rFonts w:ascii="Arial" w:hAnsi="Arial" w:eastAsia="Lucida Sans Unicode" w:cs="Lucida Sans"/>
      <w:sz w:val="28"/>
      <w:szCs w:val="28"/>
    </w:rPr>
  </w:style>
  <w:style w:type="paragraph" w:styleId="Ph">
    <w:name w:val="Phụ đề"/>
    <w:basedOn w:val="Normal"/>
    <w:qFormat/>
    <w:pPr>
      <w:suppressLineNumbers/>
      <w:spacing w:before="120" w:after="120"/>
    </w:pPr>
    <w:rPr>
      <w:rFonts w:cs="Lucida Sans"/>
      <w:i/>
      <w:iCs/>
      <w:sz w:val="24"/>
      <w:szCs w:val="24"/>
    </w:rPr>
  </w:style>
  <w:style w:type="paragraph" w:styleId="Chmc">
    <w:name w:val="Chỉ mục"/>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Times New Roman" w:hAnsi="Times New Roman" w:cs="Times New Roman"/>
      <w:sz w:val="24"/>
      <w:szCs w:val="24"/>
    </w:rPr>
  </w:style>
  <w:style w:type="paragraph" w:styleId="BodyText2">
    <w:name w:val="Body Text 2"/>
    <w:basedOn w:val="Normal"/>
    <w:qFormat/>
    <w:pPr>
      <w:jc w:val="both"/>
    </w:pPr>
    <w:rPr>
      <w:rFonts w:ascii="Times New Roman" w:hAnsi="Times New Roman" w:cs="Times New Roman"/>
      <w:color w:val="333333"/>
    </w:rPr>
  </w:style>
  <w:style w:type="paragraph" w:styleId="BodyText3">
    <w:name w:val="Body Text 3"/>
    <w:basedOn w:val="Normal"/>
    <w:qFormat/>
    <w:pPr>
      <w:jc w:val="both"/>
    </w:pPr>
    <w:rPr>
      <w:rFonts w:ascii="Times New Roman" w:hAnsi="Times New Roman" w:cs="Times New Roman"/>
    </w:rPr>
  </w:style>
  <w:style w:type="paragraph" w:styleId="BodyTextIndent2">
    <w:name w:val="Body Text Indent 2"/>
    <w:basedOn w:val="Normal"/>
    <w:qFormat/>
    <w:pPr>
      <w:spacing w:lineRule="auto" w:line="480" w:before="0" w:after="120"/>
      <w:ind w:hanging="0" w:start="360" w:end="0"/>
    </w:pPr>
    <w:rPr/>
  </w:style>
  <w:style w:type="paragraph" w:styleId="BodyTextIndent">
    <w:name w:val="Body Text Indent"/>
    <w:basedOn w:val="Normal"/>
    <w:pPr>
      <w:spacing w:before="240" w:after="0"/>
      <w:ind w:firstLine="720" w:start="0" w:end="0"/>
      <w:jc w:val="both"/>
    </w:pPr>
    <w:rPr>
      <w:sz w:val="30"/>
      <w:szCs w:val="20"/>
    </w:rPr>
  </w:style>
  <w:style w:type="paragraph" w:styleId="Subtitle">
    <w:name w:val="Subtitle"/>
    <w:basedOn w:val="Tiu"/>
    <w:next w:val="BodyText"/>
    <w:qFormat/>
    <w:pPr>
      <w:jc w:val="center"/>
    </w:pPr>
    <w:rPr>
      <w:i/>
      <w:iCs/>
      <w:sz w:val="28"/>
      <w:szCs w:val="28"/>
    </w:rPr>
  </w:style>
  <w:style w:type="paragraph" w:styleId="BodyTextIndent3">
    <w:name w:val="Body Text Indent 3"/>
    <w:basedOn w:val="Normal"/>
    <w:qFormat/>
    <w:pPr>
      <w:spacing w:before="0" w:after="120"/>
      <w:ind w:hanging="0" w:start="360" w:end="0"/>
    </w:pPr>
    <w:rPr>
      <w:sz w:val="16"/>
      <w:szCs w:val="16"/>
    </w:rPr>
  </w:style>
  <w:style w:type="paragraph" w:styleId="Header">
    <w:name w:val="Header"/>
    <w:basedOn w:val="Normal"/>
    <w:pPr>
      <w:tabs>
        <w:tab w:val="clear" w:pos="720"/>
        <w:tab w:val="center" w:pos="4320" w:leader="none"/>
        <w:tab w:val="right" w:pos="8640" w:leader="none"/>
      </w:tabs>
    </w:pPr>
    <w:rPr>
      <w:color w:val="000000"/>
      <w:szCs w:val="20"/>
    </w:rPr>
  </w:style>
  <w:style w:type="paragraph" w:styleId="CharCharCharCharCharCharCharCharChar1Char">
    <w:name w:val=" Char Char Char Char Char Char Char Char Char1 Char"/>
    <w:basedOn w:val="Normal"/>
    <w:next w:val="Normal"/>
    <w:qFormat/>
    <w:pPr>
      <w:spacing w:lineRule="auto" w:line="312" w:before="120" w:after="120"/>
    </w:pPr>
    <w:rPr>
      <w:rFonts w:ascii="Times New Roman" w:hAnsi="Times New Roman" w:cs="Times New Roman"/>
      <w:color w:val="000000"/>
      <w:szCs w:val="22"/>
    </w:rPr>
  </w:style>
  <w:style w:type="paragraph" w:styleId="NormalWeb">
    <w:name w:val="Normal (Web)"/>
    <w:basedOn w:val="Normal"/>
    <w:qFormat/>
    <w:pPr>
      <w:spacing w:before="280" w:after="280"/>
    </w:pPr>
    <w:rPr>
      <w:rFonts w:ascii="Times New Roman" w:hAnsi="Times New Roman" w:cs="Times New Roman"/>
      <w:color w:val="000000"/>
      <w:sz w:val="24"/>
      <w:szCs w:val="24"/>
    </w:rPr>
  </w:style>
  <w:style w:type="paragraph" w:styleId="CharCharChar1CharCharCharCharCharCharCharCharChar1CharCharCharChar">
    <w:name w:val=" Char Char Char1 Char Char Char Char Char Char Char Char Char1 Char Char Char Char"/>
    <w:next w:val="Normal"/>
    <w:qFormat/>
    <w:pPr>
      <w:widowControl/>
      <w:suppressAutoHyphens w:val="true"/>
      <w:bidi w:val="0"/>
      <w:spacing w:lineRule="exact" w:line="240" w:before="0" w:after="160"/>
      <w:jc w:val="both"/>
    </w:pPr>
    <w:rPr>
      <w:rFonts w:ascii="Times New Roman" w:hAnsi="Times New Roman" w:eastAsia="Arial" w:cs="Times New Roman"/>
      <w:color w:val="auto"/>
      <w:sz w:val="28"/>
      <w:szCs w:val="22"/>
      <w:lang w:val="en-US" w:bidi="ar-SA" w:eastAsia="zh-CN"/>
    </w:rPr>
  </w:style>
  <w:style w:type="paragraph" w:styleId="DefaultParagraphFontParaCharCharCharCharChar">
    <w:name w:val="Default Paragraph Font Para Char Char Char Char Char"/>
    <w:qFormat/>
    <w:pPr>
      <w:widowControl/>
      <w:tabs>
        <w:tab w:val="clear" w:pos="720"/>
        <w:tab w:val="left" w:pos="1152" w:leader="none"/>
      </w:tabs>
      <w:suppressAutoHyphens w:val="true"/>
      <w:bidi w:val="0"/>
      <w:spacing w:lineRule="auto" w:line="312" w:before="120" w:after="120"/>
    </w:pPr>
    <w:rPr>
      <w:rFonts w:ascii="Arial" w:hAnsi="Arial" w:eastAsia="Arial" w:cs="Arial"/>
      <w:color w:val="auto"/>
      <w:sz w:val="26"/>
      <w:szCs w:val="26"/>
      <w:lang w:val="en-US" w:bidi="ar-SA" w:eastAsia="zh-CN"/>
    </w:rPr>
  </w:style>
  <w:style w:type="paragraph" w:styleId="CharCharCharCharCharCharCharCharChar1Char1">
    <w:name w:val="Char Char Char Char Char Char Char Char Char1 Char"/>
    <w:basedOn w:val="Normal"/>
    <w:next w:val="Normal"/>
    <w:qFormat/>
    <w:pPr>
      <w:spacing w:lineRule="auto" w:line="312" w:before="120" w:after="120"/>
    </w:pPr>
    <w:rPr>
      <w:rFonts w:ascii="Times New Roman" w:hAnsi="Times New Roman" w:cs="Times New Roman"/>
      <w:color w:val="000000"/>
      <w:szCs w:val="22"/>
    </w:rPr>
  </w:style>
  <w:style w:type="paragraph" w:styleId="DocumentMap">
    <w:name w:val="Document Map"/>
    <w:basedOn w:val="Normal"/>
    <w:qFormat/>
    <w:pPr>
      <w:shd w:fill="000080" w:val="clear"/>
    </w:pPr>
    <w:rPr>
      <w:rFonts w:ascii="Tahoma" w:hAnsi="Tahoma" w:cs="Tahoma"/>
      <w:sz w:val="20"/>
      <w:szCs w:val="20"/>
    </w:rPr>
  </w:style>
  <w:style w:type="paragraph" w:styleId="1CharCharCharChar">
    <w:name w:val="1 Char Char Char Char"/>
    <w:basedOn w:val="DocumentMap"/>
    <w:qFormat/>
    <w:pPr>
      <w:widowControl w:val="false"/>
      <w:jc w:val="both"/>
    </w:pPr>
    <w:rPr>
      <w:rFonts w:eastAsia="SimSun;宋体" w:cs="Times New Roman"/>
      <w:color w:val="000000"/>
      <w:kern w:val="2"/>
      <w:sz w:val="24"/>
      <w:szCs w:val="24"/>
    </w:rPr>
  </w:style>
  <w:style w:type="paragraph" w:styleId="normal-p">
    <w:name w:val="normal-p"/>
    <w:basedOn w:val="Normal"/>
    <w:qFormat/>
    <w:pPr>
      <w:spacing w:before="280" w:after="280"/>
    </w:pPr>
    <w:rPr>
      <w:rFonts w:ascii="Times New Roman" w:hAnsi="Times New Roman" w:cs="Times New Roman"/>
      <w:color w:val="000000"/>
      <w:sz w:val="24"/>
      <w:szCs w:val="24"/>
    </w:rPr>
  </w:style>
  <w:style w:type="paragraph" w:styleId="western">
    <w:name w:val="western"/>
    <w:basedOn w:val="Normal"/>
    <w:qFormat/>
    <w:pPr>
      <w:spacing w:before="280" w:after="0"/>
      <w:jc w:val="both"/>
    </w:pPr>
    <w:rPr>
      <w:color w:val="000000"/>
    </w:rPr>
  </w:style>
  <w:style w:type="paragraph" w:styleId="Char">
    <w:name w:val=" Char"/>
    <w:qFormat/>
    <w:pPr>
      <w:widowControl/>
      <w:tabs>
        <w:tab w:val="clear" w:pos="720"/>
        <w:tab w:val="left" w:pos="1152" w:leader="none"/>
      </w:tabs>
      <w:suppressAutoHyphens w:val="true"/>
      <w:bidi w:val="0"/>
      <w:spacing w:lineRule="auto" w:line="312" w:before="120" w:after="120"/>
    </w:pPr>
    <w:rPr>
      <w:rFonts w:ascii="Arial" w:hAnsi="Arial" w:eastAsia="Arial" w:cs="Arial"/>
      <w:color w:val="auto"/>
      <w:sz w:val="26"/>
      <w:szCs w:val="26"/>
      <w:lang w:val="en-US" w:bidi="ar-SA" w:eastAsia="zh-CN"/>
    </w:rPr>
  </w:style>
  <w:style w:type="paragraph" w:styleId="Nidungkhung">
    <w:name w:val="Nội dung khung"/>
    <w:basedOn w:val="BodyText"/>
    <w:qFormat/>
    <w:pPr/>
    <w:rPr/>
  </w:style>
  <w:style w:type="paragraph" w:styleId="Nidungbng">
    <w:name w:val="Nội dung bảng"/>
    <w:basedOn w:val="Normal"/>
    <w:qFormat/>
    <w:pPr>
      <w:suppressLineNumbers/>
    </w:pPr>
    <w:rPr/>
  </w:style>
  <w:style w:type="paragraph" w:styleId="Tiubng">
    <w:name w:val="Tiêu đề bảng"/>
    <w:basedOn w:val="Nidungbng"/>
    <w:qFormat/>
    <w:pPr>
      <w:suppressLineNumbers/>
      <w:jc w:val="center"/>
    </w:pPr>
    <w:rPr>
      <w:b/>
      <w:bCs/>
    </w:rPr>
  </w:style>
  <w:style w:type="paragraph" w:styleId="CharCharCharCharCharCharCharCharCharChar">
    <w:name w:val=" Char Char Char Char Char Char Char Char Char Char"/>
    <w:basedOn w:val="Normal"/>
    <w:qFormat/>
    <w:pPr>
      <w:suppressAutoHyphens w:val="false"/>
      <w:spacing w:lineRule="exact" w:line="240" w:before="0" w:after="160"/>
    </w:pPr>
    <w:rPr>
      <w:rFonts w:ascii="Tahoma" w:hAnsi="Tahoma" w:eastAsia="MS Mincho;ＭＳ 明朝" w:cs="Tahoma"/>
      <w:color w:val="000000"/>
      <w:sz w:val="20"/>
      <w:szCs w:val="20"/>
    </w:rPr>
  </w:style>
  <w:style w:type="paragraph" w:styleId="CharChar2CharCharCharCharCharChar">
    <w:name w:val=" Char Char2 Char Char Char Char Char Char"/>
    <w:basedOn w:val="Normal"/>
    <w:qFormat/>
    <w:pPr>
      <w:tabs>
        <w:tab w:val="clear" w:pos="720"/>
        <w:tab w:val="left" w:pos="709" w:leader="none"/>
      </w:tabs>
      <w:suppressAutoHyphens w:val="false"/>
    </w:pPr>
    <w:rPr>
      <w:rFonts w:ascii="Tahoma" w:hAnsi="Tahoma" w:cs="Tahoma"/>
      <w:color w:val="000000"/>
      <w:sz w:val="24"/>
      <w:szCs w:val="24"/>
      <w:lang w:val="pl-PL"/>
    </w:rPr>
  </w:style>
  <w:style w:type="paragraph" w:styleId="CharCharChar">
    <w:name w:val=" Char Char Char"/>
    <w:basedOn w:val="Normal"/>
    <w:next w:val="Normal"/>
    <w:qFormat/>
    <w:pPr>
      <w:suppressAutoHyphens w:val="false"/>
      <w:spacing w:lineRule="auto" w:line="312" w:before="120" w:after="120"/>
    </w:pPr>
    <w:rPr>
      <w:rFonts w:ascii="Times New Roman" w:hAnsi="Times New Roman" w:cs="Times New Roman"/>
      <w:color w:val="000000"/>
    </w:rPr>
  </w:style>
  <w:style w:type="paragraph" w:styleId="CharChar8CharCharCharCharCharCharCharCharCharCharCharCharCharCharCharChar1CharCharCharCharCharCharCharCharCharCharCharCharCharCharCharCharCharCharCharChar">
    <w:name w:val=" Char Char8 Char Char Char Char Char Char Char Char Char Char Char Char Char Char Char Char1 Char Char Char Char Char Char Char Char Char Char Char Char Char Char Char Char Char Char Char Char"/>
    <w:basedOn w:val="Normal"/>
    <w:qFormat/>
    <w:pPr>
      <w:suppressAutoHyphens w:val="false"/>
      <w:spacing w:lineRule="exact" w:line="240" w:before="0" w:after="160"/>
    </w:pPr>
    <w:rPr>
      <w:rFonts w:ascii="Verdana" w:hAnsi="Verdana" w:eastAsia="MS Mincho;ＭＳ 明朝" w:cs="Verdana"/>
      <w:color w:val="000000"/>
      <w:sz w:val="20"/>
      <w:szCs w:val="20"/>
      <w:lang w:val="en-US" w:eastAsia="en-US"/>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FootnoteText">
    <w:name w:val="Footnote Text"/>
    <w:basedOn w:val="Normal"/>
    <w:pPr/>
    <w:rPr>
      <w:sz w:val="20"/>
      <w:szCs w:val="20"/>
    </w:rPr>
  </w:style>
  <w:style w:type="paragraph" w:styleId="NoSpacing">
    <w:name w:val="No Spacing"/>
    <w:qFormat/>
    <w:pPr>
      <w:widowControl/>
      <w:bidi w:val="0"/>
    </w:pPr>
    <w:rPr>
      <w:rFonts w:ascii="Times New Roman" w:hAnsi="Times New Roman" w:eastAsia="Times New Roman" w:cs="Times New Roman"/>
      <w:color w:val="auto"/>
      <w:sz w:val="28"/>
      <w:szCs w:val="28"/>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2580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2021-05-04T02:00:00Z</dcterms:created>
  <dc:creator>Microsoft Cop.</dc:creator>
  <dc:description/>
  <cp:keywords/>
  <dc:language>en-US</dc:language>
  <cp:lastModifiedBy>USER</cp:lastModifiedBy>
  <cp:lastPrinted>2026-01-28T11:38:00Z</cp:lastPrinted>
  <dcterms:modified xsi:type="dcterms:W3CDTF">2026-01-30T04:03:00Z</dcterms:modified>
  <cp:revision>573</cp:revision>
  <dc:subject/>
  <dc:title>UBND TỈNH CÀ MAU </dc:title>
</cp:coreProperties>
</file>