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748" w:leader="none"/>
        </w:tabs>
        <w:spacing w:lineRule="exact" w:line="320" w:before="120" w:after="0"/>
        <w:jc w:val="both"/>
        <w:rPr>
          <w:rFonts w:eastAsia="Times New Roman"/>
          <w:color w:val="000000"/>
          <w:sz w:val="2"/>
          <w:szCs w:val="28"/>
          <w:lang w:val="en-US"/>
        </w:rPr>
      </w:pPr>
      <w:r>
        <w:rPr>
          <w:rFonts w:eastAsia="Times New Roman"/>
          <w:color w:val="000000"/>
          <w:sz w:val="2"/>
          <w:szCs w:val="28"/>
          <w:lang w:val="en-US"/>
        </w:rPr>
        <w:t xml:space="preserve">     </w:t>
      </w:r>
    </w:p>
    <w:tbl>
      <w:tblPr>
        <w:tblW w:w="9781" w:type="dxa"/>
        <w:jc w:val="start"/>
        <w:tblInd w:w="-34" w:type="dxa"/>
        <w:tblLayout w:type="fixed"/>
        <w:tblCellMar>
          <w:top w:w="0" w:type="dxa"/>
          <w:start w:w="108" w:type="dxa"/>
          <w:bottom w:w="0" w:type="dxa"/>
          <w:end w:w="108" w:type="dxa"/>
        </w:tblCellMar>
      </w:tblPr>
      <w:tblGrid>
        <w:gridCol w:w="3403"/>
        <w:gridCol w:w="283"/>
        <w:gridCol w:w="6095"/>
      </w:tblGrid>
      <w:tr>
        <w:trPr>
          <w:trHeight w:val="345" w:hRule="atLeast"/>
        </w:trPr>
        <w:tc>
          <w:tcPr>
            <w:tcW w:w="3403" w:type="dxa"/>
            <w:tcBorders/>
          </w:tcPr>
          <w:p>
            <w:pPr>
              <w:pStyle w:val="Normal"/>
              <w:suppressAutoHyphens w:val="true"/>
              <w:ind w:firstLine="37" w:end="0"/>
              <w:jc w:val="center"/>
              <w:rPr>
                <w:bCs/>
                <w:color w:val="000000"/>
                <w:sz w:val="28"/>
                <w:szCs w:val="28"/>
                <w:lang w:val="pt-BR"/>
              </w:rPr>
            </w:pPr>
            <w:r>
              <w:rPr>
                <w:bCs/>
                <w:color w:val="000000"/>
                <w:sz w:val="28"/>
                <w:szCs w:val="28"/>
                <w:lang w:val="pt-BR"/>
              </w:rPr>
              <w:t>UBND TỈNH LÀO CAI</w:t>
            </w:r>
          </w:p>
        </w:tc>
        <w:tc>
          <w:tcPr>
            <w:tcW w:w="283" w:type="dxa"/>
            <w:tcBorders/>
          </w:tcPr>
          <w:p>
            <w:pPr>
              <w:pStyle w:val="Normal"/>
              <w:suppressAutoHyphens w:val="true"/>
              <w:snapToGrid w:val="false"/>
              <w:ind w:firstLine="37" w:end="0"/>
              <w:jc w:val="center"/>
              <w:rPr>
                <w:b/>
                <w:bCs/>
                <w:color w:val="000000"/>
                <w:sz w:val="28"/>
                <w:szCs w:val="28"/>
                <w:lang w:val="pt-BR"/>
              </w:rPr>
            </w:pPr>
            <w:r>
              <w:rPr>
                <w:b/>
                <w:bCs/>
                <w:color w:val="000000"/>
                <w:sz w:val="28"/>
                <w:szCs w:val="28"/>
                <w:lang w:val="pt-BR"/>
              </w:rPr>
            </w:r>
          </w:p>
        </w:tc>
        <w:tc>
          <w:tcPr>
            <w:tcW w:w="6095" w:type="dxa"/>
            <w:tcBorders/>
          </w:tcPr>
          <w:p>
            <w:pPr>
              <w:pStyle w:val="Normal"/>
              <w:suppressAutoHyphens w:val="true"/>
              <w:ind w:firstLine="37" w:end="0"/>
              <w:jc w:val="center"/>
              <w:rPr>
                <w:bCs/>
                <w:color w:val="000000"/>
                <w:sz w:val="28"/>
                <w:szCs w:val="28"/>
                <w:lang w:val="pt-BR"/>
              </w:rPr>
            </w:pPr>
            <w:r>
              <w:rPr>
                <w:b/>
                <w:bCs/>
                <w:color w:val="000000"/>
                <w:sz w:val="28"/>
                <w:szCs w:val="28"/>
                <w:lang w:val="pt-BR"/>
              </w:rPr>
              <w:t>CỘNG HÒA XÃ HỘI CHỦ NGHĨA VIỆT NAM</w:t>
            </w:r>
          </w:p>
        </w:tc>
      </w:tr>
      <w:tr>
        <w:trPr>
          <w:trHeight w:val="174" w:hRule="atLeast"/>
        </w:trPr>
        <w:tc>
          <w:tcPr>
            <w:tcW w:w="3403" w:type="dxa"/>
            <w:tcBorders/>
          </w:tcPr>
          <w:p>
            <w:pPr>
              <w:pStyle w:val="Normal"/>
              <w:suppressAutoHyphens w:val="true"/>
              <w:ind w:firstLine="37" w:end="0"/>
              <w:jc w:val="center"/>
              <w:rPr>
                <w:bCs/>
                <w:color w:val="000000"/>
                <w:sz w:val="28"/>
                <w:szCs w:val="28"/>
                <w:lang w:val="pt-BR"/>
              </w:rPr>
            </w:pPr>
            <w:r>
              <w:rPr>
                <w:b/>
                <w:bCs/>
                <w:color w:val="000000"/>
                <w:sz w:val="28"/>
                <w:szCs w:val="28"/>
                <w:lang w:val="pt-BR"/>
              </w:rPr>
              <w:t>SỞ CÔNG THƯƠNG</w:t>
            </w:r>
          </w:p>
        </w:tc>
        <w:tc>
          <w:tcPr>
            <w:tcW w:w="283" w:type="dxa"/>
            <w:tcBorders/>
          </w:tcPr>
          <w:p>
            <w:pPr>
              <w:pStyle w:val="Normal"/>
              <w:suppressAutoHyphens w:val="true"/>
              <w:snapToGrid w:val="false"/>
              <w:ind w:firstLine="37" w:end="0"/>
              <w:jc w:val="center"/>
              <w:rPr>
                <w:b/>
                <w:bCs/>
                <w:color w:val="000000"/>
                <w:sz w:val="28"/>
                <w:szCs w:val="28"/>
                <w:lang w:val="en-US"/>
              </w:rPr>
            </w:pPr>
            <w:r>
              <w:rPr>
                <w:b/>
                <w:bCs/>
                <w:color w:val="000000"/>
                <w:sz w:val="28"/>
                <w:szCs w:val="28"/>
                <w:lang w:val="en-US"/>
              </w:rPr>
            </w:r>
          </w:p>
        </w:tc>
        <w:tc>
          <w:tcPr>
            <w:tcW w:w="6095" w:type="dxa"/>
            <w:tcBorders/>
          </w:tcPr>
          <w:p>
            <w:pPr>
              <w:pStyle w:val="Normal"/>
              <w:suppressAutoHyphens w:val="true"/>
              <w:ind w:firstLine="37" w:end="0"/>
              <w:jc w:val="center"/>
              <w:rPr>
                <w:bCs/>
                <w:color w:val="000000"/>
                <w:sz w:val="28"/>
                <w:szCs w:val="28"/>
                <w:lang w:val="en-US"/>
              </w:rPr>
            </w:pPr>
            <w:r>
              <w:rPr>
                <w:b/>
                <w:bCs/>
                <w:color w:val="000000"/>
                <w:sz w:val="28"/>
                <w:szCs w:val="28"/>
                <w:lang w:val="en-US"/>
              </w:rPr>
              <w:t>Độc lập – Tự do – Hạnh phúc</w:t>
            </w:r>
            <w:r>
              <w:rPr>
                <w:bCs/>
                <w:color w:val="000000"/>
                <w:sz w:val="28"/>
                <w:szCs w:val="28"/>
                <w:lang w:val="en-US"/>
              </w:rPr>
              <w:softHyphen/>
              <w:softHyphen/>
              <w:softHyphen/>
              <w:softHyphen/>
              <w:softHyphen/>
              <w:softHyphen/>
              <w:softHyphen/>
            </w:r>
          </w:p>
        </w:tc>
      </w:tr>
      <w:tr>
        <w:trPr/>
        <w:tc>
          <w:tcPr>
            <w:tcW w:w="3403" w:type="dxa"/>
            <w:tcBorders/>
          </w:tcPr>
          <w:p>
            <w:pPr>
              <w:pStyle w:val="Normal"/>
              <w:suppressAutoHyphens w:val="true"/>
              <w:spacing w:before="120" w:after="0"/>
              <w:ind w:firstLine="40" w:end="0"/>
              <w:rPr>
                <w:bCs/>
                <w:color w:val="000000"/>
                <w:sz w:val="28"/>
                <w:szCs w:val="28"/>
                <w:lang w:val="en-US"/>
              </w:rPr>
            </w:pPr>
            <w:r>
              <mc:AlternateContent>
                <mc:Choice Requires="wps">
                  <w:drawing>
                    <wp:anchor behindDoc="0" distT="0" distB="0" distL="114935" distR="114935" simplePos="0" locked="0" layoutInCell="1" allowOverlap="1" relativeHeight="2">
                      <wp:simplePos x="0" y="0"/>
                      <wp:positionH relativeFrom="column">
                        <wp:posOffset>448310</wp:posOffset>
                      </wp:positionH>
                      <wp:positionV relativeFrom="paragraph">
                        <wp:posOffset>28575</wp:posOffset>
                      </wp:positionV>
                      <wp:extent cx="996950" cy="1270"/>
                      <wp:effectExtent l="635" t="5080" r="635" b="5080"/>
                      <wp:wrapNone/>
                      <wp:docPr id="1" name="AutoShape 76"/>
                      <a:graphic xmlns:a="http://schemas.openxmlformats.org/drawingml/2006/main">
                        <a:graphicData uri="http://schemas.microsoft.com/office/word/2010/wordprocessingShape">
                          <wps:wsp>
                            <wps:cNvCnPr/>
                            <wps:spPr>
                              <a:xfrm>
                                <a:off x="0" y="0"/>
                                <a:ext cx="99756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AutoShape 76" stroked="t" o:allowincell="t" style="position:absolute;margin-left:35.3pt;margin-top:2.25pt;width:78.5pt;height:0.1pt" type="_x0000_t32">
                      <v:stroke color="black" weight="9360" joinstyle="miter" endcap="flat"/>
                      <v:fill o:detectmouseclick="t" on="false"/>
                      <w10:wrap type="none"/>
                    </v:shape>
                  </w:pict>
                </mc:Fallback>
              </mc:AlternateContent>
            </w:r>
            <w:r>
              <w:rPr>
                <w:bCs/>
                <w:color w:val="000000"/>
                <w:sz w:val="28"/>
                <w:szCs w:val="28"/>
                <w:lang w:val="en-US"/>
              </w:rPr>
              <w:t>Số:            /SCT-CN</w:t>
            </w:r>
          </w:p>
        </w:tc>
        <w:tc>
          <w:tcPr>
            <w:tcW w:w="283" w:type="dxa"/>
            <w:tcBorders/>
          </w:tcPr>
          <w:p>
            <w:pPr>
              <w:pStyle w:val="Normal"/>
              <w:suppressAutoHyphens w:val="true"/>
              <w:snapToGrid w:val="false"/>
              <w:ind w:firstLine="37" w:end="0"/>
              <w:rPr>
                <w:bCs/>
                <w:i/>
                <w:i/>
                <w:color w:val="000000"/>
                <w:sz w:val="28"/>
                <w:szCs w:val="28"/>
                <w:lang w:val="en-US"/>
              </w:rPr>
            </w:pPr>
            <w:r>
              <w:rPr>
                <w:bCs/>
                <w:i/>
                <w:color w:val="000000"/>
                <w:sz w:val="28"/>
                <w:szCs w:val="28"/>
                <w:lang w:val="en-US"/>
              </w:rPr>
            </w:r>
          </w:p>
        </w:tc>
        <w:tc>
          <w:tcPr>
            <w:tcW w:w="6095" w:type="dxa"/>
            <w:tcBorders/>
          </w:tcPr>
          <w:p>
            <w:pPr>
              <w:pStyle w:val="Normal"/>
              <w:suppressAutoHyphens w:val="true"/>
              <w:spacing w:before="120" w:after="0"/>
              <w:ind w:firstLine="40" w:end="0"/>
              <w:jc w:val="end"/>
              <w:rPr>
                <w:b/>
                <w:bCs/>
                <w:color w:val="000000"/>
                <w:sz w:val="28"/>
                <w:szCs w:val="28"/>
                <w:lang w:val="en-US"/>
              </w:rPr>
            </w:pPr>
            <w:r>
              <mc:AlternateContent>
                <mc:Choice Requires="wps">
                  <w:drawing>
                    <wp:anchor behindDoc="0" distT="0" distB="0" distL="114935" distR="114935" simplePos="0" locked="0" layoutInCell="1" allowOverlap="1" relativeHeight="3">
                      <wp:simplePos x="0" y="0"/>
                      <wp:positionH relativeFrom="column">
                        <wp:posOffset>801370</wp:posOffset>
                      </wp:positionH>
                      <wp:positionV relativeFrom="paragraph">
                        <wp:posOffset>31750</wp:posOffset>
                      </wp:positionV>
                      <wp:extent cx="2172335" cy="1270"/>
                      <wp:effectExtent l="635" t="5080" r="635" b="5080"/>
                      <wp:wrapNone/>
                      <wp:docPr id="2" name="AutoShape 90"/>
                      <a:graphic xmlns:a="http://schemas.openxmlformats.org/drawingml/2006/main">
                        <a:graphicData uri="http://schemas.microsoft.com/office/word/2010/wordprocessingShape">
                          <wps:wsp>
                            <wps:cNvCnPr/>
                            <wps:spPr>
                              <a:xfrm>
                                <a:off x="0" y="0"/>
                                <a:ext cx="2172600" cy="1800"/>
                              </a:xfrm>
                              <a:prstGeom prst="straightConnector1">
                                <a:avLst/>
                              </a:prstGeom>
                              <a:ln w="9360">
                                <a:solidFill>
                                  <a:srgbClr val="000000"/>
                                </a:solidFill>
                                <a:miter/>
                              </a:ln>
                            </wps:spPr>
                            <wps:bodyPr/>
                          </wps:wsp>
                        </a:graphicData>
                      </a:graphic>
                    </wp:anchor>
                  </w:drawing>
                </mc:Choice>
                <mc:Fallback>
                  <w:pict>
                    <v:shape id="shape_0" ID="AutoShape 90" stroked="t" o:allowincell="t" style="position:absolute;margin-left:63.1pt;margin-top:2.5pt;width:171pt;height:0.1pt" type="_x0000_t32">
                      <v:stroke color="black" weight="9360" joinstyle="miter" endcap="flat"/>
                      <v:fill o:detectmouseclick="t" on="false"/>
                      <w10:wrap type="none"/>
                    </v:shape>
                  </w:pict>
                </mc:Fallback>
              </mc:AlternateContent>
            </w:r>
            <w:r>
              <w:rPr>
                <w:rFonts w:eastAsia="Times New Roman"/>
                <w:i/>
                <w:color w:val="000000"/>
                <w:sz w:val="28"/>
                <w:szCs w:val="28"/>
                <w:lang w:val="en-US"/>
              </w:rPr>
              <w:t xml:space="preserve"> </w:t>
            </w:r>
            <w:r>
              <w:rPr>
                <w:i/>
                <w:color w:val="000000"/>
                <w:sz w:val="28"/>
                <w:szCs w:val="28"/>
                <w:lang w:val="en-US"/>
              </w:rPr>
              <w:t>Lào Cai, ngày         tháng  01 năm 2026</w:t>
            </w:r>
          </w:p>
        </w:tc>
      </w:tr>
      <w:tr>
        <w:trPr>
          <w:trHeight w:val="883" w:hRule="atLeast"/>
        </w:trPr>
        <w:tc>
          <w:tcPr>
            <w:tcW w:w="3403" w:type="dxa"/>
            <w:tcBorders/>
          </w:tcPr>
          <w:p>
            <w:pPr>
              <w:pStyle w:val="Normal"/>
              <w:suppressAutoHyphens w:val="true"/>
              <w:snapToGrid w:val="false"/>
              <w:ind w:firstLine="37" w:end="0"/>
              <w:rPr>
                <w:b/>
                <w:bCs/>
                <w:color w:val="000000"/>
                <w:sz w:val="28"/>
                <w:szCs w:val="28"/>
                <w:lang w:val="en-US"/>
              </w:rPr>
            </w:pPr>
            <w:r>
              <w:rPr>
                <w:b/>
                <w:bCs/>
                <w:color w:val="000000"/>
                <w:sz w:val="28"/>
                <w:szCs w:val="28"/>
                <w:lang w:val="en-US"/>
              </w:rPr>
            </w:r>
          </w:p>
          <w:p>
            <w:pPr>
              <w:pStyle w:val="Normal"/>
              <w:suppressAutoHyphens w:val="true"/>
              <w:ind w:firstLine="37" w:end="0"/>
              <w:jc w:val="center"/>
              <w:rPr>
                <w:bCs/>
                <w:color w:val="000000"/>
                <w:sz w:val="28"/>
                <w:szCs w:val="28"/>
                <w:lang w:val="en-US"/>
              </w:rPr>
            </w:pPr>
            <w:r>
              <w:rPr>
                <w:iCs/>
                <w:color w:val="000000"/>
                <w:sz w:val="26"/>
                <w:szCs w:val="26"/>
                <w:lang w:val="en-US" w:eastAsia="en-US"/>
              </w:rPr>
              <w:t xml:space="preserve">V/v </w:t>
            </w:r>
            <w:r>
              <w:rPr>
                <w:iCs/>
                <w:color w:val="000000"/>
                <w:sz w:val="26"/>
                <w:szCs w:val="26"/>
                <w:lang w:val="en-US" w:eastAsia="en-US"/>
              </w:rPr>
              <w:t>triển khai thực hiện</w:t>
            </w:r>
            <w:r>
              <w:rPr>
                <w:bCs/>
                <w:color w:val="000000"/>
                <w:sz w:val="26"/>
                <w:szCs w:val="26"/>
                <w:lang w:val="en-US"/>
              </w:rPr>
              <w:t xml:space="preserve"> các Nghị định của Chính phủ và Thông tư của Bộ Công Thương về lĩnh vực Hóa chất</w:t>
            </w:r>
          </w:p>
        </w:tc>
        <w:tc>
          <w:tcPr>
            <w:tcW w:w="283" w:type="dxa"/>
            <w:tcBorders/>
          </w:tcPr>
          <w:p>
            <w:pPr>
              <w:pStyle w:val="Normal"/>
              <w:suppressAutoHyphens w:val="true"/>
              <w:snapToGrid w:val="false"/>
              <w:ind w:firstLine="37" w:end="0"/>
              <w:rPr>
                <w:bCs/>
                <w:color w:val="000000"/>
                <w:sz w:val="28"/>
                <w:szCs w:val="28"/>
                <w:lang w:val="en-US"/>
              </w:rPr>
            </w:pPr>
            <w:r>
              <w:rPr>
                <w:bCs/>
                <w:color w:val="000000"/>
                <w:sz w:val="28"/>
                <w:szCs w:val="28"/>
                <w:lang w:val="en-US"/>
              </w:rPr>
            </w:r>
          </w:p>
          <w:p>
            <w:pPr>
              <w:pStyle w:val="Normal"/>
              <w:suppressAutoHyphens w:val="true"/>
              <w:ind w:firstLine="37" w:end="0"/>
              <w:rPr>
                <w:bCs/>
                <w:color w:val="000000"/>
                <w:sz w:val="28"/>
                <w:szCs w:val="28"/>
                <w:lang w:val="en-US"/>
              </w:rPr>
            </w:pPr>
            <w:r>
              <w:rPr>
                <w:bCs/>
                <w:color w:val="000000"/>
                <w:sz w:val="28"/>
                <w:szCs w:val="28"/>
                <w:lang w:val="en-US"/>
              </w:rPr>
            </w:r>
          </w:p>
          <w:p>
            <w:pPr>
              <w:pStyle w:val="Normal"/>
              <w:suppressAutoHyphens w:val="true"/>
              <w:ind w:firstLine="37" w:end="0"/>
              <w:rPr>
                <w:bCs/>
                <w:color w:val="000000"/>
                <w:sz w:val="28"/>
                <w:szCs w:val="28"/>
                <w:lang w:val="en-US"/>
              </w:rPr>
            </w:pPr>
            <w:r>
              <w:rPr>
                <w:bCs/>
                <w:color w:val="000000"/>
                <w:sz w:val="28"/>
                <w:szCs w:val="28"/>
                <w:lang w:val="en-US"/>
              </w:rPr>
            </w:r>
          </w:p>
          <w:p>
            <w:pPr>
              <w:pStyle w:val="Normal"/>
              <w:suppressAutoHyphens w:val="true"/>
              <w:ind w:firstLine="37" w:end="0"/>
              <w:rPr>
                <w:bCs/>
                <w:color w:val="000000"/>
                <w:sz w:val="28"/>
                <w:szCs w:val="28"/>
                <w:lang w:val="en-US"/>
              </w:rPr>
            </w:pPr>
            <w:r>
              <w:rPr>
                <w:bCs/>
                <w:color w:val="000000"/>
                <w:sz w:val="28"/>
                <w:szCs w:val="28"/>
                <w:lang w:val="en-US"/>
              </w:rPr>
            </w:r>
          </w:p>
        </w:tc>
        <w:tc>
          <w:tcPr>
            <w:tcW w:w="6095" w:type="dxa"/>
            <w:tcBorders/>
          </w:tcPr>
          <w:p>
            <w:pPr>
              <w:pStyle w:val="Normal"/>
              <w:suppressAutoHyphens w:val="true"/>
              <w:snapToGrid w:val="false"/>
              <w:ind w:firstLine="37" w:end="0"/>
              <w:rPr>
                <w:bCs/>
                <w:color w:val="000000"/>
                <w:sz w:val="28"/>
                <w:szCs w:val="28"/>
                <w:lang w:val="en-US"/>
              </w:rPr>
            </w:pPr>
            <w:r>
              <w:rPr>
                <w:bCs/>
                <w:color w:val="000000"/>
                <w:sz w:val="28"/>
                <w:szCs w:val="28"/>
                <w:lang w:val="en-US"/>
              </w:rPr>
            </w:r>
          </w:p>
          <w:p>
            <w:pPr>
              <w:pStyle w:val="Normal"/>
              <w:suppressAutoHyphens w:val="true"/>
              <w:ind w:firstLine="37" w:end="0"/>
              <w:rPr>
                <w:bCs/>
                <w:color w:val="000000"/>
                <w:sz w:val="28"/>
                <w:szCs w:val="28"/>
                <w:lang w:val="en-US"/>
              </w:rPr>
            </w:pPr>
            <w:r>
              <w:rPr>
                <w:bCs/>
                <w:color w:val="000000"/>
                <w:sz w:val="28"/>
                <w:szCs w:val="28"/>
                <w:lang w:val="en-US"/>
              </w:rPr>
            </w:r>
          </w:p>
          <w:p>
            <w:pPr>
              <w:pStyle w:val="Normal"/>
              <w:suppressAutoHyphens w:val="true"/>
              <w:ind w:firstLine="37" w:end="0"/>
              <w:rPr>
                <w:bCs/>
                <w:color w:val="000000"/>
                <w:sz w:val="28"/>
                <w:szCs w:val="28"/>
                <w:lang w:val="en-US"/>
              </w:rPr>
            </w:pPr>
            <w:r>
              <w:rPr>
                <w:bCs/>
                <w:color w:val="000000"/>
                <w:sz w:val="28"/>
                <w:szCs w:val="28"/>
                <w:lang w:val="en-US"/>
              </w:rPr>
            </w:r>
          </w:p>
          <w:p>
            <w:pPr>
              <w:pStyle w:val="Normal"/>
              <w:suppressAutoHyphens w:val="true"/>
              <w:ind w:firstLine="37" w:end="0"/>
              <w:rPr>
                <w:bCs/>
                <w:color w:val="000000"/>
                <w:sz w:val="28"/>
                <w:szCs w:val="28"/>
                <w:lang w:val="en-US"/>
              </w:rPr>
            </w:pPr>
            <w:r>
              <w:rPr>
                <w:bCs/>
                <w:color w:val="000000"/>
                <w:sz w:val="28"/>
                <w:szCs w:val="28"/>
                <w:lang w:val="en-US"/>
              </w:rPr>
            </w:r>
          </w:p>
        </w:tc>
      </w:tr>
    </w:tbl>
    <w:p>
      <w:pPr>
        <w:pStyle w:val="Normal"/>
        <w:suppressAutoHyphens w:val="true"/>
        <w:ind w:firstLine="720" w:start="1440" w:end="0"/>
        <w:rPr>
          <w:color w:val="000000"/>
          <w:sz w:val="28"/>
          <w:szCs w:val="28"/>
          <w:lang w:val="en-US"/>
        </w:rPr>
      </w:pPr>
      <w:r>
        <w:rPr>
          <w:color w:val="000000"/>
          <w:sz w:val="28"/>
          <w:szCs w:val="28"/>
          <w:lang w:val="en-US"/>
        </w:rPr>
      </w:r>
    </w:p>
    <w:p>
      <w:pPr>
        <w:pStyle w:val="Normal"/>
        <w:suppressAutoHyphens w:val="true"/>
        <w:ind w:firstLine="720" w:start="1440" w:end="0"/>
        <w:rPr>
          <w:color w:val="000000"/>
          <w:sz w:val="10"/>
          <w:szCs w:val="10"/>
          <w:lang w:val="en-US"/>
        </w:rPr>
      </w:pPr>
      <w:r>
        <w:rPr>
          <w:color w:val="000000"/>
          <w:sz w:val="10"/>
          <w:szCs w:val="10"/>
          <w:lang w:val="en-US"/>
        </w:rPr>
      </w:r>
    </w:p>
    <w:p>
      <w:pPr>
        <w:pStyle w:val="Normal"/>
        <w:suppressAutoHyphens w:val="true"/>
        <w:ind w:firstLine="720" w:start="1440" w:end="0"/>
        <w:rPr>
          <w:bCs/>
          <w:color w:val="000000"/>
          <w:sz w:val="28"/>
          <w:szCs w:val="28"/>
          <w:lang w:val="en-US"/>
        </w:rPr>
      </w:pPr>
      <w:r>
        <w:rPr>
          <w:rFonts w:eastAsia="Times New Roman"/>
          <w:color w:val="000000"/>
          <w:sz w:val="28"/>
          <w:szCs w:val="28"/>
          <w:lang w:val="en-US"/>
        </w:rPr>
        <w:t xml:space="preserve">   </w:t>
      </w:r>
      <w:r>
        <w:rPr>
          <w:color w:val="000000"/>
          <w:sz w:val="28"/>
          <w:szCs w:val="28"/>
          <w:lang w:val="en-US"/>
        </w:rPr>
        <w:t>Kính gửi</w:t>
      </w:r>
      <w:r>
        <w:rPr>
          <w:bCs/>
          <w:color w:val="000000"/>
          <w:sz w:val="28"/>
          <w:szCs w:val="28"/>
          <w:lang w:val="en-US"/>
        </w:rPr>
        <w:t xml:space="preserve">: </w:t>
      </w:r>
    </w:p>
    <w:p>
      <w:pPr>
        <w:pStyle w:val="Normal"/>
        <w:suppressAutoHyphens w:val="true"/>
        <w:ind w:firstLine="339" w:start="3261" w:end="0"/>
        <w:jc w:val="both"/>
        <w:rPr/>
      </w:pPr>
      <w:r>
        <w:rPr>
          <w:bCs/>
          <w:color w:val="000000"/>
          <w:sz w:val="28"/>
          <w:szCs w:val="28"/>
          <w:lang w:val="en-US"/>
        </w:rPr>
        <w:t>- Các Sở, ban, ngành tỉnh;</w:t>
      </w:r>
    </w:p>
    <w:p>
      <w:pPr>
        <w:pStyle w:val="Normal"/>
        <w:suppressAutoHyphens w:val="true"/>
        <w:ind w:firstLine="339" w:start="3261" w:end="0"/>
        <w:jc w:val="both"/>
        <w:rPr/>
      </w:pPr>
      <w:r>
        <w:rPr>
          <w:bCs/>
          <w:color w:val="000000"/>
          <w:sz w:val="28"/>
          <w:szCs w:val="28"/>
          <w:lang w:val="en-US"/>
        </w:rPr>
        <w:t>- Ủy ban nhân dân xã, phường;</w:t>
      </w:r>
    </w:p>
    <w:p>
      <w:pPr>
        <w:pStyle w:val="Normal"/>
        <w:suppressAutoHyphens w:val="true"/>
        <w:ind w:firstLine="339" w:start="3261" w:end="0"/>
        <w:jc w:val="both"/>
        <w:rPr>
          <w:bCs/>
          <w:color w:val="000000"/>
          <w:sz w:val="28"/>
          <w:szCs w:val="28"/>
          <w:lang w:val="en-US"/>
        </w:rPr>
      </w:pPr>
      <w:r>
        <w:rPr>
          <w:bCs/>
          <w:color w:val="000000"/>
          <w:sz w:val="28"/>
          <w:szCs w:val="28"/>
          <w:lang w:val="en-US"/>
        </w:rPr>
        <w:t xml:space="preserve">- </w:t>
      </w:r>
      <w:bookmarkStart w:id="0" w:name="_Hlk220058323"/>
      <w:r>
        <w:rPr>
          <w:bCs/>
          <w:color w:val="000000"/>
          <w:sz w:val="28"/>
          <w:szCs w:val="28"/>
          <w:lang w:val="en-US"/>
        </w:rPr>
        <w:t xml:space="preserve">Các đơn vị hoạt động hóa chất </w:t>
      </w:r>
    </w:p>
    <w:p>
      <w:pPr>
        <w:pStyle w:val="Normal"/>
        <w:suppressAutoHyphens w:val="true"/>
        <w:ind w:firstLine="86" w:start="3686" w:end="0"/>
        <w:jc w:val="both"/>
        <w:rPr>
          <w:bCs/>
          <w:color w:val="000000"/>
          <w:sz w:val="28"/>
          <w:szCs w:val="28"/>
          <w:lang w:val="en-US"/>
        </w:rPr>
      </w:pPr>
      <w:r>
        <w:rPr>
          <w:bCs/>
          <w:color w:val="000000"/>
          <w:sz w:val="28"/>
          <w:szCs w:val="28"/>
          <w:lang w:val="en-US"/>
        </w:rPr>
        <w:t>trên địa bàn tỉnh</w:t>
      </w:r>
      <w:bookmarkEnd w:id="0"/>
      <w:r>
        <w:rPr>
          <w:bCs/>
          <w:color w:val="000000"/>
          <w:sz w:val="28"/>
          <w:szCs w:val="28"/>
          <w:lang w:val="en-US"/>
        </w:rPr>
        <w:t>.</w:t>
      </w:r>
    </w:p>
    <w:p>
      <w:pPr>
        <w:pStyle w:val="Normal"/>
        <w:jc w:val="both"/>
        <w:rPr>
          <w:bCs/>
          <w:color w:val="000000"/>
          <w:sz w:val="28"/>
          <w:szCs w:val="28"/>
          <w:lang w:val="en-US"/>
        </w:rPr>
      </w:pPr>
      <w:r>
        <w:rPr>
          <w:bCs/>
          <w:color w:val="000000"/>
          <w:sz w:val="28"/>
          <w:szCs w:val="28"/>
          <w:lang w:val="en-US"/>
        </w:rPr>
      </w:r>
    </w:p>
    <w:p>
      <w:pPr>
        <w:pStyle w:val="NormalWeb"/>
        <w:spacing w:lineRule="exact" w:line="300" w:before="120" w:after="0"/>
        <w:ind w:firstLine="720" w:end="0"/>
        <w:jc w:val="both"/>
        <w:rPr/>
      </w:pPr>
      <w:r>
        <w:rPr>
          <w:sz w:val="28"/>
          <w:szCs w:val="28"/>
        </w:rPr>
        <w:t>Thực hiện chỉ đạo của UBND tỉnh tại văn bản số 502/UBND-KT ngày 20/01/2026 về việc triển khai Nghị định số 25/2026/NĐ-CP và để đảm bảo việc thực hiện đồng bộ Luật Hóa chất số 69/2025/QH15 có hiệu lực từ ngày 01/01/2026, Sở Công Thương tỉnh Lào Cai hướng dẫn, tuyên truyền và yêu cầu các đơn vị hoạt động hóa chất thực hiện các nội dung trọng tâm sau:</w:t>
      </w:r>
    </w:p>
    <w:p>
      <w:pPr>
        <w:pStyle w:val="Normal"/>
        <w:spacing w:lineRule="exact" w:line="300" w:before="120" w:after="0"/>
        <w:ind w:firstLine="720" w:end="0"/>
        <w:jc w:val="both"/>
        <w:rPr>
          <w:rFonts w:eastAsia="Times New Roman"/>
          <w:b/>
          <w:bCs/>
          <w:iCs/>
          <w:color w:val="000000"/>
          <w:sz w:val="28"/>
          <w:szCs w:val="28"/>
          <w:lang w:val="en-US"/>
        </w:rPr>
      </w:pPr>
      <w:r>
        <w:rPr>
          <w:rFonts w:eastAsia="Times New Roman"/>
          <w:b/>
          <w:bCs/>
          <w:iCs/>
          <w:color w:val="000000"/>
          <w:sz w:val="28"/>
          <w:szCs w:val="28"/>
          <w:lang w:val="en-US"/>
        </w:rPr>
        <w:t>1. Về phổ biến Văn bản quy phạm pháp luật mới</w:t>
      </w:r>
    </w:p>
    <w:p>
      <w:pPr>
        <w:pStyle w:val="NormalWeb"/>
        <w:spacing w:lineRule="exact" w:line="300" w:before="120" w:after="0"/>
        <w:ind w:firstLine="720" w:end="0"/>
        <w:jc w:val="both"/>
        <w:rPr/>
      </w:pPr>
      <w:r>
        <w:rPr>
          <w:sz w:val="28"/>
          <w:szCs w:val="28"/>
        </w:rPr>
        <w:t xml:space="preserve">Đề nghị </w:t>
      </w:r>
      <w:r>
        <w:rPr>
          <w:bCs/>
          <w:sz w:val="28"/>
          <w:szCs w:val="28"/>
        </w:rPr>
        <w:t xml:space="preserve">các Sở, ngành và địa phương, Ủy ban nhân dân xã, phường </w:t>
      </w:r>
      <w:r>
        <w:rPr>
          <w:sz w:val="28"/>
          <w:szCs w:val="28"/>
        </w:rPr>
        <w:t xml:space="preserve">phối hợp với Sở Công Thương trong việc tuyên truyền, hướng dẫn đến </w:t>
      </w:r>
      <w:r>
        <w:rPr>
          <w:color w:val="000000"/>
          <w:sz w:val="28"/>
          <w:szCs w:val="28"/>
        </w:rPr>
        <w:t xml:space="preserve">các tổ chức, cá nhân có liên quan triển khai các văn bản quy phạm pháp luật thuộc lĩnh vực hóa chất. </w:t>
      </w:r>
      <w:r>
        <w:rPr>
          <w:sz w:val="28"/>
          <w:szCs w:val="28"/>
        </w:rPr>
        <w:t>Yêu cầu các tổ chức, cá nhân hoạt động hóa chất thuộc lĩnh vực, địa bàn quản lý chủ động nghiên cứu, cập nhật các văn bản quy phạm pháp luật sau:</w:t>
      </w:r>
    </w:p>
    <w:p>
      <w:pPr>
        <w:pStyle w:val="Normal"/>
        <w:spacing w:lineRule="exact" w:line="300" w:before="120" w:after="0"/>
        <w:ind w:firstLine="720" w:end="0"/>
        <w:jc w:val="both"/>
        <w:rPr/>
      </w:pPr>
      <w:r>
        <w:rPr>
          <w:rFonts w:eastAsia="Times New Roman"/>
          <w:iCs/>
          <w:color w:val="000000"/>
          <w:sz w:val="28"/>
          <w:szCs w:val="28"/>
          <w:lang w:val="en-US"/>
        </w:rPr>
        <w:t xml:space="preserve">- </w:t>
      </w:r>
      <w:r>
        <w:rPr>
          <w:rFonts w:eastAsia="Times New Roman"/>
          <w:iCs/>
          <w:color w:val="000000"/>
          <w:sz w:val="28"/>
          <w:szCs w:val="28"/>
        </w:rPr>
        <w:t>Nghị định số 2</w:t>
      </w:r>
      <w:r>
        <w:rPr>
          <w:rFonts w:eastAsia="Times New Roman"/>
          <w:iCs/>
          <w:color w:val="000000"/>
          <w:sz w:val="28"/>
          <w:szCs w:val="28"/>
          <w:lang w:val="en-US"/>
        </w:rPr>
        <w:t>4</w:t>
      </w:r>
      <w:r>
        <w:rPr>
          <w:rFonts w:eastAsia="Times New Roman"/>
          <w:iCs/>
          <w:color w:val="000000"/>
          <w:sz w:val="28"/>
          <w:szCs w:val="28"/>
        </w:rPr>
        <w:t xml:space="preserve">/2026/NĐ-CP ngày 17 tháng 01 năm 2026 của Chính phủ quy định </w:t>
      </w:r>
      <w:r>
        <w:rPr>
          <w:rFonts w:eastAsia="Times New Roman"/>
          <w:iCs/>
          <w:color w:val="000000"/>
          <w:sz w:val="28"/>
          <w:szCs w:val="28"/>
          <w:lang w:val="en-US"/>
        </w:rPr>
        <w:t>các danh mục hóa chất thuộc phạm vi điều chỉnh của Luật Hóa chất.</w:t>
      </w:r>
    </w:p>
    <w:p>
      <w:pPr>
        <w:pStyle w:val="Normal"/>
        <w:spacing w:lineRule="exact" w:line="300" w:before="120" w:after="0"/>
        <w:ind w:firstLine="720" w:end="0"/>
        <w:jc w:val="both"/>
        <w:rPr>
          <w:rFonts w:eastAsia="Times New Roman"/>
          <w:iCs/>
          <w:color w:val="000000"/>
          <w:sz w:val="28"/>
          <w:szCs w:val="28"/>
          <w:lang w:val="en-US"/>
        </w:rPr>
      </w:pPr>
      <w:r>
        <w:rPr>
          <w:rFonts w:eastAsia="Times New Roman"/>
          <w:iCs/>
          <w:color w:val="000000"/>
          <w:sz w:val="28"/>
          <w:szCs w:val="28"/>
          <w:lang w:val="en-US"/>
        </w:rPr>
        <w:t xml:space="preserve">- </w:t>
      </w:r>
      <w:r>
        <w:rPr>
          <w:rFonts w:eastAsia="Times New Roman"/>
          <w:iCs/>
          <w:color w:val="000000"/>
          <w:sz w:val="28"/>
          <w:szCs w:val="28"/>
        </w:rPr>
        <w:t>Nghị định số 25/2026/NĐ-CP ngày 17 tháng 01 năm 2026 của Chính phủ quy định chi tiết và biện pháp để tổ chức, hướng dẫn thi hành một số điều của Luật Hóa chất về phát triển ngành công nghiệp hóa chất và an toàn, an ninh hóa chất</w:t>
      </w:r>
      <w:r>
        <w:rPr>
          <w:rFonts w:eastAsia="Times New Roman"/>
          <w:iCs/>
          <w:color w:val="000000"/>
          <w:sz w:val="28"/>
          <w:szCs w:val="28"/>
          <w:lang w:val="en-US"/>
        </w:rPr>
        <w:t>.</w:t>
      </w:r>
    </w:p>
    <w:p>
      <w:pPr>
        <w:pStyle w:val="Normal"/>
        <w:spacing w:lineRule="exact" w:line="300" w:before="120" w:after="0"/>
        <w:ind w:firstLine="720" w:end="0"/>
        <w:jc w:val="both"/>
        <w:rPr/>
      </w:pPr>
      <w:r>
        <w:rPr>
          <w:rFonts w:eastAsia="Times New Roman"/>
          <w:iCs/>
          <w:color w:val="000000"/>
          <w:sz w:val="28"/>
          <w:szCs w:val="28"/>
          <w:lang w:val="en-US"/>
        </w:rPr>
        <w:t xml:space="preserve">- </w:t>
      </w:r>
      <w:r>
        <w:rPr>
          <w:rFonts w:eastAsia="Times New Roman"/>
          <w:iCs/>
          <w:color w:val="000000"/>
          <w:sz w:val="28"/>
          <w:szCs w:val="28"/>
        </w:rPr>
        <w:t xml:space="preserve">Nghị định số 26/2026/NĐ-CP ngày 17 tháng 01 năm 2026 của Chính phủ quy định chi tiết và </w:t>
      </w:r>
      <w:r>
        <w:rPr>
          <w:rFonts w:eastAsia="Times New Roman"/>
          <w:iCs/>
          <w:color w:val="000000"/>
          <w:sz w:val="28"/>
          <w:szCs w:val="28"/>
          <w:lang w:val="en-US"/>
        </w:rPr>
        <w:t xml:space="preserve">hướng dẫn thi hành một số điều của Luật Hóa chất về quản lý hoạt động hóa chất và hóa chất nguy hiểm trong sản phẩm, hàng hóa. </w:t>
      </w:r>
    </w:p>
    <w:p>
      <w:pPr>
        <w:pStyle w:val="Normal"/>
        <w:spacing w:lineRule="exact" w:line="300" w:before="120" w:after="0"/>
        <w:ind w:firstLine="720" w:end="0"/>
        <w:jc w:val="both"/>
        <w:rPr>
          <w:rFonts w:eastAsia="Times New Roman"/>
          <w:iCs/>
          <w:color w:val="000000"/>
          <w:sz w:val="28"/>
          <w:szCs w:val="28"/>
          <w:lang w:val="en-US"/>
        </w:rPr>
      </w:pPr>
      <w:r>
        <w:rPr>
          <w:rFonts w:eastAsia="Times New Roman"/>
          <w:iCs/>
          <w:color w:val="000000"/>
          <w:sz w:val="28"/>
          <w:szCs w:val="28"/>
          <w:lang w:val="en-US"/>
        </w:rPr>
        <w:t xml:space="preserve">- </w:t>
      </w:r>
      <w:r>
        <w:rPr>
          <w:bCs/>
          <w:iCs/>
          <w:color w:val="000000"/>
          <w:sz w:val="28"/>
          <w:szCs w:val="28"/>
        </w:rPr>
        <w:t>Thông tư số 01/2026/TT-BCT</w:t>
      </w:r>
      <w:r>
        <w:rPr>
          <w:bCs/>
          <w:iCs/>
          <w:color w:val="000000"/>
          <w:sz w:val="28"/>
          <w:szCs w:val="28"/>
          <w:lang w:val="en-US"/>
        </w:rPr>
        <w:t xml:space="preserve"> ngày </w:t>
      </w:r>
      <w:r>
        <w:rPr>
          <w:rFonts w:eastAsia="Times New Roman"/>
          <w:iCs/>
          <w:color w:val="000000"/>
          <w:sz w:val="28"/>
          <w:szCs w:val="28"/>
        </w:rPr>
        <w:t>17 tháng 01 năm 2026</w:t>
      </w:r>
      <w:r>
        <w:rPr>
          <w:rFonts w:eastAsia="Times New Roman"/>
          <w:iCs/>
          <w:color w:val="000000"/>
          <w:sz w:val="28"/>
          <w:szCs w:val="28"/>
          <w:lang w:val="en-US"/>
        </w:rPr>
        <w:t xml:space="preserve"> </w:t>
      </w:r>
      <w:r>
        <w:rPr>
          <w:bCs/>
          <w:iCs/>
          <w:color w:val="000000"/>
          <w:sz w:val="28"/>
          <w:szCs w:val="28"/>
        </w:rPr>
        <w:t>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w:t>
      </w:r>
      <w:r>
        <w:rPr>
          <w:iCs/>
          <w:color w:val="000000"/>
          <w:sz w:val="28"/>
          <w:szCs w:val="28"/>
        </w:rPr>
        <w:t>ý hoạt động hóa chất và hóa chất nguy hiểm trong sản phẩm, hàng hóa.</w:t>
      </w:r>
    </w:p>
    <w:p>
      <w:pPr>
        <w:pStyle w:val="Normal"/>
        <w:spacing w:lineRule="exact" w:line="300" w:before="120" w:after="0"/>
        <w:ind w:firstLine="720" w:end="0"/>
        <w:jc w:val="both"/>
        <w:rPr>
          <w:rFonts w:eastAsia="Times New Roman"/>
          <w:iCs/>
          <w:color w:val="000000"/>
          <w:sz w:val="28"/>
          <w:szCs w:val="28"/>
          <w:lang w:val="en-US"/>
        </w:rPr>
      </w:pPr>
      <w:r>
        <w:rPr>
          <w:rFonts w:eastAsia="Times New Roman"/>
          <w:iCs/>
          <w:color w:val="000000"/>
          <w:sz w:val="28"/>
          <w:szCs w:val="28"/>
          <w:lang w:val="en-US"/>
        </w:rPr>
        <w:t xml:space="preserve">- </w:t>
      </w:r>
      <w:r>
        <w:rPr>
          <w:rFonts w:eastAsia="Times New Roman"/>
          <w:iCs/>
          <w:color w:val="000000"/>
          <w:sz w:val="28"/>
          <w:szCs w:val="28"/>
        </w:rPr>
        <w:t>Thông tư số 02/2026/TT-BCT ngày 17 tháng 01 năm 2026 của Bộ</w:t>
      </w:r>
      <w:r>
        <w:rPr>
          <w:rFonts w:eastAsia="Times New Roman"/>
          <w:iCs/>
          <w:color w:val="000000"/>
          <w:sz w:val="28"/>
          <w:szCs w:val="28"/>
          <w:lang w:val="en-US"/>
        </w:rPr>
        <w:t xml:space="preserve"> trưởng Bộ</w:t>
      </w:r>
      <w:r>
        <w:rPr>
          <w:rFonts w:eastAsia="Times New Roman"/>
          <w:iCs/>
          <w:color w:val="000000"/>
          <w:sz w:val="28"/>
          <w:szCs w:val="28"/>
        </w:rPr>
        <w:t xml:space="preserve"> Công Thương quy định một số biện pháp thi hành Luật Hóa chất và Nghị định số 25/2026/NĐ-CP ngày 17 tháng 01 năm 2026 của Chính phủ quy định chi tiết và biện pháp để tổ chức, hướng dẫn thi hành một số điều của Luật Hóa chất về phát triển ngành công nghiệp hóa chất và an toàn, an ninh hóa chất.</w:t>
      </w:r>
    </w:p>
    <w:p>
      <w:pPr>
        <w:pStyle w:val="NormalWeb"/>
        <w:spacing w:lineRule="exact" w:line="300" w:before="120" w:after="0"/>
        <w:ind w:firstLine="720" w:end="0"/>
        <w:jc w:val="both"/>
        <w:rPr>
          <w:b/>
          <w:sz w:val="28"/>
        </w:rPr>
      </w:pPr>
      <w:r>
        <w:rPr>
          <w:b/>
          <w:sz w:val="28"/>
        </w:rPr>
        <w:t>2. Các nội dung trọng tâm đơn vị cần nghiên cứu, thực hiện</w:t>
      </w:r>
    </w:p>
    <w:p>
      <w:pPr>
        <w:pStyle w:val="NormalWeb"/>
        <w:spacing w:lineRule="exact" w:line="300" w:before="120" w:after="0"/>
        <w:ind w:firstLine="720" w:end="0"/>
        <w:jc w:val="both"/>
        <w:rPr>
          <w:sz w:val="28"/>
          <w:szCs w:val="28"/>
        </w:rPr>
      </w:pPr>
      <w:r>
        <w:rPr>
          <w:sz w:val="28"/>
          <w:szCs w:val="28"/>
        </w:rPr>
        <w:t>Đề nghị các đơn vị hoạt động hóa chất trên địa bàn tỉnh nghiên cứu, nắm rõ và thực hiện đúng các quy định của Luật Hóa chất số 69/2025/QH15, trong đó chú trọng thực hiện các nội dung sau:</w:t>
      </w:r>
    </w:p>
    <w:p>
      <w:pPr>
        <w:pStyle w:val="NormalWeb"/>
        <w:spacing w:lineRule="exact" w:line="300" w:before="120" w:after="0"/>
        <w:ind w:firstLine="720" w:end="0"/>
        <w:jc w:val="both"/>
        <w:rPr/>
      </w:pPr>
      <w:r>
        <w:rPr>
          <w:bCs/>
          <w:sz w:val="28"/>
          <w:szCs w:val="28"/>
        </w:rPr>
        <w:t>- Rà soát danh mục hóa chất:</w:t>
      </w:r>
      <w:r>
        <w:rPr>
          <w:sz w:val="28"/>
          <w:szCs w:val="28"/>
        </w:rPr>
        <w:t xml:space="preserve"> Đối chiếu hóa chất đang sản xuất, kinh doanh, sử dụng, tồn trữ với 04 danh mục mới tại Nghị định 24/2026/NĐ-CP. Đặc biệt lưu ý nhóm </w:t>
      </w:r>
      <w:r>
        <w:rPr>
          <w:bCs/>
          <w:sz w:val="28"/>
          <w:szCs w:val="28"/>
        </w:rPr>
        <w:t>Hóa chất cần kiểm soát đặc biệt</w:t>
      </w:r>
      <w:r>
        <w:rPr>
          <w:sz w:val="28"/>
          <w:szCs w:val="28"/>
        </w:rPr>
        <w:t xml:space="preserve"> và </w:t>
      </w:r>
      <w:r>
        <w:rPr>
          <w:bCs/>
          <w:sz w:val="28"/>
          <w:szCs w:val="28"/>
        </w:rPr>
        <w:t>hóa chất cơ bản trọng điểm</w:t>
      </w:r>
      <w:r>
        <w:rPr>
          <w:sz w:val="28"/>
          <w:szCs w:val="28"/>
        </w:rPr>
        <w:t>.</w:t>
      </w:r>
    </w:p>
    <w:p>
      <w:pPr>
        <w:pStyle w:val="NormalWeb"/>
        <w:spacing w:lineRule="exact" w:line="300" w:before="120" w:after="0"/>
        <w:ind w:firstLine="720" w:end="0"/>
        <w:jc w:val="both"/>
        <w:rPr/>
      </w:pPr>
      <w:r>
        <w:rPr>
          <w:bCs/>
          <w:sz w:val="28"/>
          <w:szCs w:val="28"/>
        </w:rPr>
        <w:t>- Cập nhật hồ sơ an toàn:</w:t>
      </w:r>
      <w:r>
        <w:rPr>
          <w:sz w:val="28"/>
          <w:szCs w:val="28"/>
        </w:rPr>
        <w:t xml:space="preserve"> Xây dựng hoặc điều chỉnh </w:t>
      </w:r>
      <w:r>
        <w:rPr>
          <w:bCs/>
          <w:sz w:val="28"/>
          <w:szCs w:val="28"/>
        </w:rPr>
        <w:t>Kế hoạch/Biện pháp phòng ngừa, ứng phó sự cố hóa chất</w:t>
      </w:r>
      <w:r>
        <w:rPr>
          <w:sz w:val="28"/>
          <w:szCs w:val="28"/>
        </w:rPr>
        <w:t xml:space="preserve"> theo ngưỡng khối lượng mới.</w:t>
      </w:r>
    </w:p>
    <w:p>
      <w:pPr>
        <w:pStyle w:val="NormalWeb"/>
        <w:spacing w:lineRule="exact" w:line="300" w:before="120" w:after="0"/>
        <w:ind w:firstLine="720" w:end="0"/>
        <w:jc w:val="both"/>
        <w:rPr>
          <w:sz w:val="28"/>
          <w:szCs w:val="28"/>
        </w:rPr>
      </w:pPr>
      <w:r>
        <w:rPr>
          <w:sz w:val="28"/>
          <w:szCs w:val="28"/>
        </w:rPr>
        <w:t xml:space="preserve">- Thiết lập và duy trì </w:t>
      </w:r>
      <w:r>
        <w:rPr>
          <w:bCs/>
          <w:sz w:val="28"/>
          <w:szCs w:val="28"/>
        </w:rPr>
        <w:t>khoảng cách an toàn</w:t>
      </w:r>
      <w:r>
        <w:rPr>
          <w:sz w:val="28"/>
          <w:szCs w:val="28"/>
        </w:rPr>
        <w:t xml:space="preserve"> theo hướng dẫn tại Nghị định 25/2026/NĐ-CP. Thực hiện đầy đủ việc kê khai, báo cáo, xin cấp phép (</w:t>
      </w:r>
      <w:r>
        <w:rPr>
          <w:i/>
          <w:sz w:val="28"/>
          <w:szCs w:val="28"/>
        </w:rPr>
        <w:t>nếu thuộc đối tượng phải thực hiện)</w:t>
      </w:r>
      <w:r>
        <w:rPr>
          <w:sz w:val="28"/>
          <w:szCs w:val="28"/>
        </w:rPr>
        <w:t xml:space="preserve"> theo quy định của pháp luật.</w:t>
      </w:r>
    </w:p>
    <w:p>
      <w:pPr>
        <w:pStyle w:val="NormalWeb"/>
        <w:spacing w:lineRule="exact" w:line="300" w:before="120" w:after="0"/>
        <w:ind w:firstLine="720" w:end="0"/>
        <w:jc w:val="both"/>
        <w:rPr>
          <w:sz w:val="28"/>
          <w:szCs w:val="28"/>
        </w:rPr>
      </w:pPr>
      <w:r>
        <w:rPr>
          <w:bCs/>
          <w:sz w:val="28"/>
          <w:szCs w:val="28"/>
        </w:rPr>
        <w:t>- Thực hiện chuyển đổi số trong quản lý:</w:t>
      </w:r>
      <w:r>
        <w:rPr>
          <w:sz w:val="28"/>
          <w:szCs w:val="28"/>
        </w:rPr>
        <w:t xml:space="preserve"> Đăng ký tài khoản và cập nhật dữ liệu hoạt động định kỳ lên </w:t>
      </w:r>
      <w:r>
        <w:rPr>
          <w:bCs/>
          <w:sz w:val="28"/>
          <w:szCs w:val="28"/>
        </w:rPr>
        <w:t>Cơ sở dữ liệu hóa chất quốc gia</w:t>
      </w:r>
      <w:r>
        <w:rPr>
          <w:sz w:val="28"/>
          <w:szCs w:val="28"/>
        </w:rPr>
        <w:t>.</w:t>
      </w:r>
    </w:p>
    <w:p>
      <w:pPr>
        <w:pStyle w:val="NormalWeb"/>
        <w:spacing w:lineRule="exact" w:line="300" w:before="120" w:after="0"/>
        <w:ind w:firstLine="720" w:end="0"/>
        <w:jc w:val="both"/>
        <w:rPr>
          <w:sz w:val="28"/>
          <w:szCs w:val="28"/>
        </w:rPr>
      </w:pPr>
      <w:r>
        <w:rPr>
          <w:bCs/>
          <w:sz w:val="28"/>
          <w:szCs w:val="28"/>
        </w:rPr>
        <w:t>- Công tác huấn luyện và diễn tập:</w:t>
      </w:r>
      <w:r>
        <w:rPr>
          <w:sz w:val="28"/>
          <w:szCs w:val="28"/>
        </w:rPr>
        <w:t xml:space="preserve"> Tổ chức huấn luyện an toàn hóa chất cho 03 nhóm đối tượng theo quy định. Thực hiện diễn tập ứng phó sự cố hóa chất định kỳ và thực hiện chế độ cập nhật hoạt động diễn tập ứng phó trên cơ sở dữ liệu chuyên ngành hóa chất.</w:t>
      </w:r>
    </w:p>
    <w:p>
      <w:pPr>
        <w:pStyle w:val="NormalWeb"/>
        <w:spacing w:lineRule="exact" w:line="300" w:before="120" w:after="0"/>
        <w:ind w:firstLine="720" w:end="0"/>
        <w:jc w:val="both"/>
        <w:rPr>
          <w:sz w:val="28"/>
          <w:szCs w:val="28"/>
        </w:rPr>
      </w:pPr>
      <w:r>
        <w:rPr>
          <w:sz w:val="28"/>
          <w:szCs w:val="28"/>
        </w:rPr>
        <w:t>- Thương xuyên cập nhật, nghiên cứu các văn bản quy phạm pháp luật về lĩnh vực hóa chất và triển khai thực hiện nghiêm túc, đúng, đủ theo quy định của pháp luật.</w:t>
      </w:r>
    </w:p>
    <w:p>
      <w:pPr>
        <w:pStyle w:val="Normal"/>
        <w:spacing w:lineRule="exact" w:line="300" w:before="120" w:after="0"/>
        <w:ind w:firstLine="720" w:end="0"/>
        <w:jc w:val="both"/>
        <w:rPr>
          <w:rFonts w:eastAsia="Times New Roman"/>
          <w:sz w:val="28"/>
          <w:szCs w:val="28"/>
          <w:lang w:val="fi-FI" w:eastAsia="en-US"/>
        </w:rPr>
      </w:pPr>
      <w:r>
        <w:rPr>
          <w:rFonts w:eastAsia="Times New Roman"/>
          <w:sz w:val="28"/>
          <w:szCs w:val="28"/>
          <w:lang w:val="fi-FI" w:eastAsia="en-US"/>
        </w:rPr>
        <w:t xml:space="preserve">Sở Công Thương đề nghị các Sở, ban, ngành tỉnh; UBND xã, phường và các đơn vị hoạt động hóa chất trên địa bàn tỉnh nghiên cứu, triển khai thực hiện theo đúng quy định. </w:t>
      </w:r>
      <w:r>
        <w:rPr>
          <w:bCs/>
          <w:color w:val="000000"/>
          <w:sz w:val="28"/>
          <w:szCs w:val="28"/>
          <w:lang w:val="en-US"/>
        </w:rPr>
        <w:t xml:space="preserve">Trong quá trình triển khai thực hiện, nếu có vướng mắc hoặc vấn đề phát sinh </w:t>
      </w:r>
      <w:r>
        <w:rPr>
          <w:color w:val="000000"/>
          <w:sz w:val="28"/>
          <w:szCs w:val="28"/>
        </w:rPr>
        <w:t xml:space="preserve">đề nghị các đơn vị phản hồi về Sở </w:t>
      </w:r>
      <w:r>
        <w:rPr>
          <w:color w:val="000000"/>
          <w:sz w:val="28"/>
          <w:szCs w:val="28"/>
          <w:lang w:val="en-US"/>
        </w:rPr>
        <w:t>Công Thương</w:t>
      </w:r>
      <w:r>
        <w:rPr>
          <w:color w:val="000000"/>
          <w:sz w:val="28"/>
          <w:szCs w:val="28"/>
        </w:rPr>
        <w:t xml:space="preserve"> để tổng hợp, báo cáo, đề xuất UBND tỉnh kiến nghị cấp có thẩm quyền xem xét hướng dẫn thực hiện</w:t>
      </w:r>
      <w:r>
        <w:rPr>
          <w:color w:val="000000"/>
          <w:sz w:val="28"/>
          <w:szCs w:val="28"/>
          <w:lang w:val="en-US"/>
        </w:rPr>
        <w:t xml:space="preserve"> </w:t>
      </w:r>
      <w:r>
        <w:rPr>
          <w:i/>
          <w:color w:val="000000"/>
          <w:sz w:val="28"/>
          <w:szCs w:val="28"/>
          <w:lang w:val="en-US"/>
        </w:rPr>
        <w:t xml:space="preserve">(Đính kèm </w:t>
      </w:r>
      <w:r>
        <w:rPr>
          <w:rFonts w:eastAsia="Times New Roman"/>
          <w:i/>
          <w:color w:val="000000"/>
          <w:sz w:val="28"/>
          <w:szCs w:val="28"/>
          <w:lang w:val="en-US"/>
        </w:rPr>
        <w:t>các văn bản có liên quan</w:t>
      </w:r>
      <w:r>
        <w:rPr>
          <w:rFonts w:eastAsia="Times New Roman"/>
          <w:bCs/>
          <w:i/>
          <w:color w:val="000000"/>
          <w:sz w:val="28"/>
          <w:szCs w:val="28"/>
          <w:lang w:val="en-US"/>
        </w:rPr>
        <w:t>)</w:t>
      </w:r>
      <w:r>
        <w:rPr>
          <w:color w:val="000000"/>
          <w:sz w:val="28"/>
          <w:szCs w:val="28"/>
        </w:rPr>
        <w:t xml:space="preserve">./. </w:t>
      </w:r>
    </w:p>
    <w:p>
      <w:pPr>
        <w:pStyle w:val="Normal"/>
        <w:spacing w:before="120" w:after="0"/>
        <w:ind w:firstLine="561" w:end="0"/>
        <w:jc w:val="both"/>
        <w:rPr>
          <w:rFonts w:eastAsia="Times New Roman"/>
          <w:bCs/>
          <w:color w:val="000000"/>
          <w:sz w:val="18"/>
          <w:szCs w:val="28"/>
          <w:lang w:val="en-US" w:eastAsia="en-US"/>
        </w:rPr>
      </w:pPr>
      <w:r>
        <w:rPr>
          <w:rFonts w:eastAsia="Times New Roman"/>
          <w:bCs/>
          <w:color w:val="000000"/>
          <w:sz w:val="18"/>
          <w:szCs w:val="28"/>
          <w:lang w:val="en-US" w:eastAsia="en-US"/>
        </w:rPr>
      </w:r>
    </w:p>
    <w:tbl>
      <w:tblPr>
        <w:tblW w:w="4850" w:type="pct"/>
        <w:jc w:val="start"/>
        <w:tblInd w:w="108" w:type="dxa"/>
        <w:tblLayout w:type="fixed"/>
        <w:tblCellMar>
          <w:top w:w="0" w:type="dxa"/>
          <w:start w:w="108" w:type="dxa"/>
          <w:bottom w:w="0" w:type="dxa"/>
          <w:end w:w="108" w:type="dxa"/>
        </w:tblCellMar>
      </w:tblPr>
      <w:tblGrid>
        <w:gridCol w:w="5157"/>
        <w:gridCol w:w="3751"/>
      </w:tblGrid>
      <w:tr>
        <w:trPr>
          <w:trHeight w:val="1949" w:hRule="atLeast"/>
        </w:trPr>
        <w:tc>
          <w:tcPr>
            <w:tcW w:w="5157" w:type="dxa"/>
            <w:tcBorders/>
          </w:tcPr>
          <w:p>
            <w:pPr>
              <w:pStyle w:val="Normal"/>
              <w:tabs>
                <w:tab w:val="clear" w:pos="720"/>
                <w:tab w:val="left" w:pos="748" w:leader="none"/>
              </w:tabs>
              <w:rPr>
                <w:color w:val="000000"/>
                <w:sz w:val="22"/>
                <w:szCs w:val="22"/>
                <w:lang w:val="en-US" w:eastAsia="en-US"/>
              </w:rPr>
            </w:pPr>
            <w:r>
              <w:rPr>
                <w:color w:val="000000"/>
                <w:sz w:val="28"/>
                <w:szCs w:val="28"/>
                <w:lang w:val="en-US" w:eastAsia="en-US"/>
              </w:rPr>
              <w:t> </w:t>
            </w:r>
            <w:r>
              <w:rPr>
                <w:b/>
                <w:bCs/>
                <w:i/>
                <w:iCs/>
                <w:color w:val="000000"/>
                <w:lang w:val="en-US" w:eastAsia="en-US"/>
              </w:rPr>
              <w:t>Nơi nhận:</w:t>
            </w:r>
            <w:r>
              <w:rPr>
                <w:b/>
                <w:bCs/>
                <w:i/>
                <w:iCs/>
                <w:color w:val="000000"/>
                <w:sz w:val="28"/>
                <w:szCs w:val="28"/>
                <w:lang w:val="en-US" w:eastAsia="en-US"/>
              </w:rPr>
              <w:br/>
            </w:r>
            <w:r>
              <w:rPr>
                <w:color w:val="000000"/>
                <w:sz w:val="22"/>
                <w:szCs w:val="22"/>
                <w:lang w:val="en-US" w:eastAsia="en-US"/>
              </w:rPr>
              <w:t>- Như trên;</w:t>
            </w:r>
          </w:p>
          <w:p>
            <w:pPr>
              <w:pStyle w:val="Normal"/>
              <w:tabs>
                <w:tab w:val="clear" w:pos="720"/>
                <w:tab w:val="left" w:pos="748" w:leader="none"/>
              </w:tabs>
              <w:rPr>
                <w:color w:val="000000"/>
                <w:sz w:val="22"/>
                <w:szCs w:val="22"/>
                <w:lang w:val="en-US" w:eastAsia="en-US"/>
              </w:rPr>
            </w:pPr>
            <w:r>
              <w:rPr>
                <w:color w:val="000000"/>
                <w:sz w:val="22"/>
                <w:szCs w:val="22"/>
                <w:lang w:val="en-US" w:eastAsia="en-US"/>
              </w:rPr>
              <w:t>- UBND tỉnh (b/c);</w:t>
            </w:r>
          </w:p>
          <w:p>
            <w:pPr>
              <w:pStyle w:val="Normal"/>
              <w:rPr>
                <w:rFonts w:eastAsia="Times New Roman"/>
                <w:bCs/>
                <w:sz w:val="22"/>
                <w:szCs w:val="22"/>
                <w:lang w:val="nl-NL" w:eastAsia="en-US"/>
              </w:rPr>
            </w:pPr>
            <w:r>
              <w:rPr>
                <w:rFonts w:eastAsia="Times New Roman"/>
                <w:bCs/>
                <w:sz w:val="22"/>
                <w:szCs w:val="22"/>
                <w:lang w:val="nl-NL" w:eastAsia="en-US"/>
              </w:rPr>
              <w:t>- Đ/c GĐ; PGĐ 3;</w:t>
            </w:r>
          </w:p>
          <w:p>
            <w:pPr>
              <w:pStyle w:val="Normal"/>
              <w:tabs>
                <w:tab w:val="clear" w:pos="720"/>
                <w:tab w:val="left" w:pos="748" w:leader="none"/>
              </w:tabs>
              <w:rPr/>
            </w:pPr>
            <w:r>
              <w:rPr>
                <w:color w:val="000000"/>
                <w:sz w:val="22"/>
                <w:szCs w:val="22"/>
                <w:lang w:val="en-US" w:eastAsia="en-US"/>
              </w:rPr>
              <w:t xml:space="preserve">- </w:t>
            </w:r>
            <w:r>
              <w:rPr>
                <w:color w:val="000000"/>
                <w:sz w:val="22"/>
                <w:szCs w:val="22"/>
              </w:rPr>
              <w:t xml:space="preserve">Phòng </w:t>
            </w:r>
            <w:r>
              <w:rPr>
                <w:color w:val="000000"/>
                <w:sz w:val="22"/>
                <w:szCs w:val="22"/>
                <w:lang w:val="en-US"/>
              </w:rPr>
              <w:t>KT</w:t>
            </w:r>
            <w:r>
              <w:rPr>
                <w:color w:val="000000"/>
                <w:sz w:val="22"/>
                <w:szCs w:val="22"/>
              </w:rPr>
              <w:t>,</w:t>
            </w:r>
            <w:r>
              <w:rPr>
                <w:color w:val="000000"/>
                <w:sz w:val="22"/>
                <w:szCs w:val="22"/>
                <w:lang w:val="en-US"/>
              </w:rPr>
              <w:t xml:space="preserve"> HT&amp;ĐT</w:t>
            </w:r>
            <w:r>
              <w:rPr>
                <w:color w:val="000000"/>
                <w:sz w:val="22"/>
                <w:szCs w:val="22"/>
              </w:rPr>
              <w:t xml:space="preserve"> các phường</w:t>
            </w:r>
            <w:r>
              <w:rPr>
                <w:color w:val="000000"/>
                <w:sz w:val="22"/>
                <w:szCs w:val="22"/>
                <w:lang w:val="en-US"/>
              </w:rPr>
              <w:t>;</w:t>
            </w:r>
          </w:p>
          <w:p>
            <w:pPr>
              <w:pStyle w:val="Normal"/>
              <w:tabs>
                <w:tab w:val="clear" w:pos="720"/>
                <w:tab w:val="left" w:pos="748" w:leader="none"/>
              </w:tabs>
              <w:rPr>
                <w:color w:val="000000"/>
                <w:sz w:val="22"/>
                <w:szCs w:val="22"/>
                <w:lang w:val="en-US" w:eastAsia="en-US"/>
              </w:rPr>
            </w:pPr>
            <w:r>
              <w:rPr>
                <w:color w:val="000000"/>
                <w:sz w:val="22"/>
                <w:szCs w:val="22"/>
                <w:lang w:val="en-US"/>
              </w:rPr>
              <w:t xml:space="preserve">- </w:t>
            </w:r>
            <w:r>
              <w:rPr>
                <w:color w:val="000000"/>
                <w:sz w:val="22"/>
                <w:szCs w:val="22"/>
              </w:rPr>
              <w:t>Phòng Kinh tế các xã</w:t>
            </w:r>
            <w:r>
              <w:rPr>
                <w:color w:val="000000"/>
                <w:sz w:val="22"/>
                <w:szCs w:val="22"/>
                <w:lang w:val="en-US"/>
              </w:rPr>
              <w:t>;</w:t>
            </w:r>
            <w:r>
              <w:rPr>
                <w:color w:val="000000"/>
                <w:sz w:val="22"/>
                <w:szCs w:val="22"/>
                <w:lang w:val="en-US" w:eastAsia="en-US"/>
              </w:rPr>
              <w:t xml:space="preserve">               </w:t>
            </w:r>
          </w:p>
          <w:p>
            <w:pPr>
              <w:pStyle w:val="Normal"/>
              <w:rPr>
                <w:rFonts w:eastAsia="Times New Roman"/>
                <w:bCs/>
                <w:sz w:val="22"/>
                <w:szCs w:val="22"/>
                <w:lang w:val="nl-NL" w:eastAsia="en-US"/>
              </w:rPr>
            </w:pPr>
            <w:r>
              <w:rPr>
                <w:rFonts w:eastAsia="Times New Roman"/>
                <w:bCs/>
                <w:sz w:val="22"/>
                <w:szCs w:val="22"/>
                <w:lang w:val="nl-NL" w:eastAsia="en-US"/>
              </w:rPr>
              <w:t>- Đ/c GĐ; PGĐ 3;</w:t>
            </w:r>
          </w:p>
          <w:p>
            <w:pPr>
              <w:pStyle w:val="Normal"/>
              <w:tabs>
                <w:tab w:val="clear" w:pos="720"/>
                <w:tab w:val="left" w:pos="748" w:leader="none"/>
              </w:tabs>
              <w:rPr/>
            </w:pPr>
            <w:r>
              <w:rPr>
                <w:color w:val="000000"/>
                <w:sz w:val="22"/>
                <w:szCs w:val="22"/>
                <w:lang w:val="en-US" w:eastAsia="en-US"/>
              </w:rPr>
              <w:t>- Các phòng, đơn vị trực thuộc Sở;</w:t>
            </w:r>
          </w:p>
          <w:p>
            <w:pPr>
              <w:pStyle w:val="Normal"/>
              <w:tabs>
                <w:tab w:val="clear" w:pos="720"/>
                <w:tab w:val="left" w:pos="748" w:leader="none"/>
              </w:tabs>
              <w:rPr>
                <w:color w:val="000000"/>
                <w:sz w:val="28"/>
                <w:szCs w:val="28"/>
                <w:lang w:val="en-US" w:eastAsia="en-US"/>
              </w:rPr>
            </w:pPr>
            <w:r>
              <w:rPr>
                <w:rFonts w:eastAsia="Times New Roman"/>
                <w:bCs/>
                <w:sz w:val="22"/>
                <w:szCs w:val="22"/>
                <w:lang w:val="nl-NL" w:eastAsia="en-US"/>
              </w:rPr>
              <w:t>- Lưu: VT, CN</w:t>
              <w:softHyphen/>
              <w:softHyphen/>
              <w:softHyphen/>
              <w:softHyphen/>
            </w:r>
            <w:r>
              <w:rPr>
                <w:rFonts w:eastAsia="Times New Roman"/>
                <w:bCs/>
                <w:sz w:val="22"/>
                <w:szCs w:val="22"/>
                <w:vertAlign w:val="subscript"/>
                <w:lang w:val="nl-NL" w:eastAsia="en-US"/>
              </w:rPr>
              <w:t>(Loan)</w:t>
            </w:r>
            <w:r>
              <w:rPr>
                <w:rFonts w:eastAsia="Times New Roman"/>
                <w:bCs/>
                <w:sz w:val="22"/>
                <w:szCs w:val="22"/>
                <w:lang w:val="nl-NL" w:eastAsia="en-US"/>
              </w:rPr>
              <w:t>.</w:t>
            </w:r>
          </w:p>
        </w:tc>
        <w:tc>
          <w:tcPr>
            <w:tcW w:w="3751" w:type="dxa"/>
            <w:tcBorders/>
          </w:tcPr>
          <w:p>
            <w:pPr>
              <w:pStyle w:val="Normal"/>
              <w:jc w:val="center"/>
              <w:rPr>
                <w:b/>
                <w:bCs/>
                <w:color w:val="000000"/>
                <w:sz w:val="28"/>
                <w:szCs w:val="28"/>
                <w:lang w:val="en-US" w:eastAsia="en-US"/>
              </w:rPr>
            </w:pPr>
            <w:r>
              <w:rPr>
                <w:b/>
                <w:bCs/>
                <w:color w:val="000000"/>
                <w:sz w:val="28"/>
                <w:szCs w:val="28"/>
                <w:lang w:val="en-US" w:eastAsia="en-US"/>
              </w:rPr>
              <w:t>KT.GIÁM ĐỐC</w:t>
              <w:br/>
              <w:t>PHÓ GIÁM ĐỐC</w:t>
            </w:r>
          </w:p>
          <w:p>
            <w:pPr>
              <w:pStyle w:val="Normal"/>
              <w:jc w:val="center"/>
              <w:rPr>
                <w:b/>
                <w:bCs/>
                <w:color w:val="000000"/>
                <w:sz w:val="28"/>
                <w:szCs w:val="28"/>
                <w:lang w:val="en-US" w:eastAsia="en-US"/>
              </w:rPr>
            </w:pPr>
            <w:r>
              <w:rPr>
                <w:b/>
                <w:bCs/>
                <w:color w:val="000000"/>
                <w:sz w:val="28"/>
                <w:szCs w:val="28"/>
                <w:lang w:val="en-US" w:eastAsia="en-US"/>
              </w:rPr>
            </w:r>
          </w:p>
          <w:p>
            <w:pPr>
              <w:pStyle w:val="Normal"/>
              <w:jc w:val="center"/>
              <w:rPr>
                <w:b/>
                <w:color w:val="000000"/>
                <w:sz w:val="28"/>
                <w:szCs w:val="28"/>
                <w:lang w:val="en-US" w:eastAsia="en-US"/>
              </w:rPr>
            </w:pPr>
            <w:r>
              <w:rPr>
                <w:b/>
                <w:color w:val="000000"/>
                <w:sz w:val="28"/>
                <w:szCs w:val="28"/>
                <w:lang w:val="en-US" w:eastAsia="en-US"/>
              </w:rPr>
            </w:r>
          </w:p>
          <w:p>
            <w:pPr>
              <w:pStyle w:val="Normal"/>
              <w:jc w:val="center"/>
              <w:rPr>
                <w:b/>
                <w:color w:val="000000"/>
                <w:sz w:val="28"/>
                <w:szCs w:val="28"/>
                <w:lang w:val="en-US" w:eastAsia="en-US"/>
              </w:rPr>
            </w:pPr>
            <w:r>
              <w:rPr>
                <w:b/>
                <w:color w:val="000000"/>
                <w:sz w:val="28"/>
                <w:szCs w:val="28"/>
                <w:lang w:val="en-US" w:eastAsia="en-US"/>
              </w:rPr>
            </w:r>
          </w:p>
          <w:p>
            <w:pPr>
              <w:pStyle w:val="Normal"/>
              <w:jc w:val="center"/>
              <w:rPr>
                <w:b/>
                <w:color w:val="000000"/>
                <w:sz w:val="28"/>
                <w:szCs w:val="28"/>
                <w:lang w:val="en-US" w:eastAsia="en-US"/>
              </w:rPr>
            </w:pPr>
            <w:r>
              <w:rPr>
                <w:b/>
                <w:color w:val="000000"/>
                <w:sz w:val="28"/>
                <w:szCs w:val="28"/>
                <w:lang w:val="en-US" w:eastAsia="en-US"/>
              </w:rPr>
            </w:r>
          </w:p>
          <w:p>
            <w:pPr>
              <w:pStyle w:val="Normal"/>
              <w:jc w:val="center"/>
              <w:rPr>
                <w:b/>
                <w:color w:val="000000"/>
                <w:sz w:val="28"/>
                <w:szCs w:val="28"/>
                <w:lang w:val="en-US" w:eastAsia="en-US"/>
              </w:rPr>
            </w:pPr>
            <w:r>
              <w:rPr>
                <w:b/>
                <w:color w:val="000000"/>
                <w:sz w:val="28"/>
                <w:szCs w:val="28"/>
                <w:lang w:val="en-US" w:eastAsia="en-US"/>
              </w:rPr>
            </w:r>
          </w:p>
          <w:p>
            <w:pPr>
              <w:pStyle w:val="Normal"/>
              <w:jc w:val="center"/>
              <w:rPr>
                <w:b/>
                <w:color w:val="000000"/>
                <w:sz w:val="28"/>
                <w:szCs w:val="28"/>
                <w:lang w:val="en-US"/>
              </w:rPr>
            </w:pPr>
            <w:r>
              <w:rPr>
                <w:b/>
                <w:color w:val="000000"/>
                <w:sz w:val="28"/>
                <w:szCs w:val="28"/>
                <w:lang w:val="en-US"/>
              </w:rPr>
              <w:t>Hoàng Văn Thuân</w:t>
            </w:r>
          </w:p>
        </w:tc>
      </w:tr>
    </w:tbl>
    <w:p>
      <w:pPr>
        <w:pStyle w:val="Normal"/>
        <w:tabs>
          <w:tab w:val="clear" w:pos="720"/>
          <w:tab w:val="left" w:pos="748" w:leader="none"/>
        </w:tabs>
        <w:jc w:val="center"/>
        <w:rPr>
          <w:b/>
          <w:color w:val="000000"/>
          <w:sz w:val="28"/>
          <w:szCs w:val="28"/>
          <w:lang w:val="en-US" w:eastAsia="en-US"/>
        </w:rPr>
      </w:pPr>
      <w:r>
        <w:rPr>
          <w:b/>
          <w:color w:val="000000"/>
          <w:sz w:val="28"/>
          <w:szCs w:val="28"/>
          <w:lang w:val="en-US" w:eastAsia="en-US"/>
        </w:rPr>
      </w:r>
    </w:p>
    <w:p>
      <w:pPr>
        <w:pStyle w:val="Normal"/>
        <w:tabs>
          <w:tab w:val="clear" w:pos="720"/>
          <w:tab w:val="left" w:pos="748" w:leader="none"/>
        </w:tabs>
        <w:jc w:val="center"/>
        <w:rPr>
          <w:b/>
          <w:color w:val="000000"/>
          <w:sz w:val="28"/>
          <w:szCs w:val="28"/>
          <w:lang w:val="en-US" w:eastAsia="en-US"/>
        </w:rPr>
      </w:pPr>
      <w:r>
        <w:rPr>
          <w:b/>
          <w:color w:val="000000"/>
          <w:sz w:val="28"/>
          <w:szCs w:val="28"/>
          <w:lang w:val="en-US" w:eastAsia="en-US"/>
        </w:rPr>
      </w:r>
    </w:p>
    <w:p>
      <w:pPr>
        <w:pStyle w:val="Normal"/>
        <w:tabs>
          <w:tab w:val="clear" w:pos="720"/>
          <w:tab w:val="left" w:pos="748" w:leader="none"/>
        </w:tabs>
        <w:jc w:val="center"/>
        <w:rPr>
          <w:b/>
          <w:color w:val="000000"/>
          <w:sz w:val="28"/>
          <w:szCs w:val="28"/>
          <w:lang w:val="en-US" w:eastAsia="en-US"/>
        </w:rPr>
      </w:pPr>
      <w:r>
        <w:rPr>
          <w:b/>
          <w:color w:val="000000"/>
          <w:sz w:val="28"/>
          <w:szCs w:val="28"/>
          <w:lang w:val="en-US" w:eastAsia="en-US"/>
        </w:rPr>
      </w:r>
    </w:p>
    <w:p>
      <w:pPr>
        <w:pStyle w:val="Normal"/>
        <w:tabs>
          <w:tab w:val="clear" w:pos="720"/>
          <w:tab w:val="left" w:pos="748" w:leader="none"/>
        </w:tabs>
        <w:jc w:val="center"/>
        <w:rPr>
          <w:b/>
          <w:color w:val="000000"/>
          <w:sz w:val="28"/>
          <w:szCs w:val="28"/>
          <w:lang w:val="en-US" w:eastAsia="en-US"/>
        </w:rPr>
      </w:pPr>
      <w:r>
        <w:rPr>
          <w:b/>
          <w:color w:val="000000"/>
          <w:sz w:val="28"/>
          <w:szCs w:val="28"/>
          <w:lang w:val="en-US" w:eastAsia="en-US"/>
        </w:rPr>
      </w:r>
    </w:p>
    <w:sectPr>
      <w:headerReference w:type="default" r:id="rId2"/>
      <w:headerReference w:type="first" r:id="rId3"/>
      <w:type w:val="nextPage"/>
      <w:pgSz w:w="11906" w:h="16838"/>
      <w:pgMar w:left="1871" w:right="851" w:gutter="0" w:header="289" w:top="1134" w:footer="0" w:bottom="107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Light">
    <w:charset w:val="00" w:characterSet="windows-1252"/>
    <w:family w:val="swiss"/>
    <w:pitch w:val="variable"/>
  </w:font>
  <w:font w:name="Calibri">
    <w:charset w:val="00" w:characterSet="windows-1252"/>
    <w:family w:val="swiss"/>
    <w:pitch w:val="variable"/>
  </w:font>
  <w:font w:name="Sylfae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VnTime">
    <w:charset w:val="00" w:characterSet="windows-1252"/>
    <w:family w:val="swiss"/>
    <w:pitch w:val="variable"/>
  </w:font>
  <w:font w:name="Segoe UI">
    <w:charset w:val="00" w:characterSet="windows-1252"/>
    <w:family w:val="swiss"/>
    <w:pitch w:val="variable"/>
  </w:font>
  <w:font w:name="TimesNewRomanPSMT">
    <w:altName w:val="Times New Roman"/>
    <w:charset w:val="00" w:characterSet="windows-1252"/>
    <w:family w:val="roman"/>
    <w:pitch w:val="default"/>
  </w:font>
  <w:font w:name="Liberation Sans">
    <w:altName w:val="Arial"/>
    <w:charset w:val="00" w:characterSet="iso-8859-1"/>
    <w:family w:val="swiss"/>
    <w:pitch w:val="variable"/>
  </w:font>
  <w:font w:name="Verdan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suff w:val="space"/>
      <w:lvlText w:val="CHAPTER %1."/>
      <w:lvlJc w:val="start"/>
      <w:pPr>
        <w:tabs>
          <w:tab w:val="num" w:pos="0"/>
        </w:tabs>
        <w:ind w:start="0" w:hanging="0"/>
      </w:pPr>
      <w:rPr>
        <w:smallCaps w:val="false"/>
        <w:caps w:val="false"/>
        <w:dstrike w:val="false"/>
        <w:strike w:val="false"/>
        <w:vertAlign w:val="baseline"/>
        <w:position w:val="0"/>
        <w:sz w:val="24"/>
        <w:spacing w:val="0"/>
        <w:i w:val="false"/>
        <w:u w:val="none"/>
        <w:kern w:val="0"/>
        <w:iCs w:val="false"/>
        <w:bCs w:val="false"/>
        <w:vanish w:val="false"/>
        <w:rFonts w:ascii="Times New Roman" w:hAnsi="Times New Roman" w:cs="Times New Roman"/>
        <w:color w:val="000000"/>
      </w:rPr>
    </w:lvl>
    <w:lvl w:ilvl="1">
      <w:start w:val="1"/>
      <w:numFmt w:val="decimal"/>
      <w:suff w:val="space"/>
      <w:lvlText w:val="%1.%2."/>
      <w:lvlJc w:val="start"/>
      <w:pPr>
        <w:tabs>
          <w:tab w:val="num" w:pos="0"/>
        </w:tabs>
        <w:ind w:start="0" w:hanging="0"/>
      </w:pPr>
      <w:rPr>
        <w:rFonts w:cs="Times New Roman"/>
      </w:rPr>
    </w:lvl>
    <w:lvl w:ilvl="2">
      <w:start w:val="1"/>
      <w:numFmt w:val="decimal"/>
      <w:suff w:val="space"/>
      <w:lvlText w:val="%1.%2.%3."/>
      <w:lvlJc w:val="start"/>
      <w:pPr>
        <w:tabs>
          <w:tab w:val="num" w:pos="0"/>
        </w:tabs>
        <w:ind w:start="1530" w:hanging="0"/>
      </w:pPr>
      <w:rPr>
        <w:rFonts w:cs="Times New Roman"/>
      </w:rPr>
    </w:lvl>
    <w:lvl w:ilvl="3">
      <w:start w:val="1"/>
      <w:pStyle w:val="Heading4"/>
      <w:numFmt w:val="decimal"/>
      <w:suff w:val="space"/>
      <w:lvlText w:val="%1.%2.%3.%4."/>
      <w:lvlJc w:val="start"/>
      <w:pPr>
        <w:tabs>
          <w:tab w:val="num" w:pos="0"/>
        </w:tabs>
        <w:ind w:start="990" w:hanging="0"/>
      </w:pPr>
      <w:rPr>
        <w:rFonts w:cs="Times New Roman"/>
      </w:rPr>
    </w:lvl>
    <w:lvl w:ilvl="4">
      <w:start w:val="1"/>
      <w:numFmt w:val="decimal"/>
      <w:suff w:val="space"/>
      <w:lvlText w:val="%1.%2.%3.%4.%5"/>
      <w:lvlJc w:val="start"/>
      <w:pPr>
        <w:tabs>
          <w:tab w:val="num" w:pos="0"/>
        </w:tabs>
        <w:ind w:start="0" w:hanging="0"/>
      </w:pPr>
      <w:rPr>
        <w:rFonts w:cs="Times New Roman"/>
      </w:rPr>
    </w:lvl>
    <w:lvl w:ilvl="5">
      <w:start w:val="1"/>
      <w:numFmt w:val="lowerRoman"/>
      <w:lvlText w:val="(%6)"/>
      <w:lvlJc w:val="start"/>
      <w:pPr>
        <w:tabs>
          <w:tab w:val="num" w:pos="0"/>
        </w:tabs>
        <w:ind w:start="2160" w:hanging="360"/>
      </w:pPr>
      <w:rPr>
        <w:rFonts w:cs="Times New Roman"/>
      </w:rPr>
    </w:lvl>
    <w:lvl w:ilvl="6">
      <w:start w:val="1"/>
      <w:numFmt w:val="decimal"/>
      <w:lvlText w:val="%7."/>
      <w:lvlJc w:val="start"/>
      <w:pPr>
        <w:tabs>
          <w:tab w:val="num" w:pos="0"/>
        </w:tabs>
        <w:ind w:start="2520" w:hanging="360"/>
      </w:pPr>
      <w:rPr>
        <w:rFonts w:cs="Times New Roman"/>
      </w:rPr>
    </w:lvl>
    <w:lvl w:ilvl="7">
      <w:start w:val="1"/>
      <w:numFmt w:val="lowerLetter"/>
      <w:lvlText w:val="%8."/>
      <w:lvlJc w:val="start"/>
      <w:pPr>
        <w:tabs>
          <w:tab w:val="num" w:pos="0"/>
        </w:tabs>
        <w:ind w:start="2880" w:hanging="360"/>
      </w:pPr>
      <w:rPr>
        <w:rFonts w:cs="Times New Roman"/>
      </w:rPr>
    </w:lvl>
    <w:lvl w:ilvl="8">
      <w:start w:val="1"/>
      <w:numFmt w:val="lowerRoman"/>
      <w:lvlText w:val="%9."/>
      <w:lvlJc w:val="start"/>
      <w:pPr>
        <w:tabs>
          <w:tab w:val="num" w:pos="0"/>
        </w:tabs>
        <w:ind w:start="3240" w:hanging="360"/>
      </w:pPr>
      <w:rPr>
        <w:rFonts w:cs="Times New Roman"/>
      </w:rPr>
    </w:lvl>
  </w:abstractNum>
  <w:abstractNum w:abstractNumId="2">
    <w:lvl w:ilvl="0">
      <w:start w:val="1"/>
      <w:numFmt w:val="bullet"/>
      <w:lvlText w:val=""/>
      <w:lvlJc w:val="start"/>
      <w:pPr>
        <w:tabs>
          <w:tab w:val="num" w:pos="0"/>
        </w:tabs>
        <w:ind w:start="1287"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64"/>
  <w:revisionView w:insDel="0" w:formatting="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Calibri" w:cs="Times New Roman"/>
      <w:color w:val="auto"/>
      <w:sz w:val="24"/>
      <w:szCs w:val="24"/>
      <w:lang w:val="vi-VN" w:bidi="ar-SA" w:eastAsia="zh-CN"/>
    </w:rPr>
  </w:style>
  <w:style w:type="paragraph" w:styleId="Heading2">
    <w:name w:val="Heading 2"/>
    <w:basedOn w:val="Normal"/>
    <w:next w:val="Normal"/>
    <w:qFormat/>
    <w:pPr>
      <w:keepNext w:val="true"/>
      <w:spacing w:before="240" w:after="60"/>
      <w:outlineLvl w:val="1"/>
    </w:pPr>
    <w:rPr>
      <w:rFonts w:ascii="Calibri Light" w:hAnsi="Calibri Light" w:eastAsia="Times New Roman" w:cs="Times New Roman"/>
      <w:b/>
      <w:bCs/>
      <w:i/>
      <w:iCs/>
      <w:sz w:val="28"/>
      <w:szCs w:val="28"/>
    </w:rPr>
  </w:style>
  <w:style w:type="paragraph" w:styleId="Heading4">
    <w:name w:val="Heading 4"/>
    <w:basedOn w:val="Normal"/>
    <w:next w:val="Normal"/>
    <w:qFormat/>
    <w:pPr>
      <w:keepNext w:val="true"/>
      <w:numPr>
        <w:ilvl w:val="3"/>
        <w:numId w:val="1"/>
      </w:numPr>
      <w:tabs>
        <w:tab w:val="clear" w:pos="720"/>
      </w:tabs>
      <w:outlineLvl w:val="3"/>
    </w:pPr>
    <w:rPr>
      <w:rFonts w:ascii="Calibri" w:hAnsi="Calibri" w:eastAsia="Times New Roman" w:cs="Calibri"/>
      <w:sz w:val="28"/>
      <w:szCs w:val="20"/>
      <w:lang w:val="en-US"/>
    </w:rPr>
  </w:style>
  <w:style w:type="character" w:styleId="WW8Num1z0">
    <w:name w:val="WW8Num1z0"/>
    <w:qFormat/>
    <w:rPr>
      <w:rFonts w:cs="Times New Roman"/>
    </w:rPr>
  </w:style>
  <w:style w:type="character" w:styleId="WW8Num1z1">
    <w:name w:val="WW8Num1z1"/>
    <w:qFormat/>
    <w:rPr>
      <w:rFonts w:cs="Times New Roman"/>
    </w:rPr>
  </w:style>
  <w:style w:type="character" w:styleId="WW8Num2z0">
    <w:name w:val="WW8Num2z0"/>
    <w:qFormat/>
    <w:rPr>
      <w:rFonts w:ascii="Sylfaen" w:hAnsi="Sylfaen" w:cs="Sylfaen"/>
      <w:color w:val="000000"/>
    </w:rPr>
  </w:style>
  <w:style w:type="character" w:styleId="WW8Num2z1">
    <w:name w:val="WW8Num2z1"/>
    <w:qFormat/>
    <w:rPr>
      <w:rFonts w:cs="Times New Roman"/>
      <w:color w:val="000000"/>
    </w:rPr>
  </w:style>
  <w:style w:type="character" w:styleId="WW8Num2z2">
    <w:name w:val="WW8Num2z2"/>
    <w:qFormat/>
    <w:rPr>
      <w:rFonts w:ascii="Symbol" w:hAnsi="Symbol" w:eastAsia="Times New Roman" w:cs="Symbol"/>
    </w:rPr>
  </w:style>
  <w:style w:type="character" w:styleId="WW8Num2z3">
    <w:name w:val="WW8Num2z3"/>
    <w:qFormat/>
    <w:rPr>
      <w:rFonts w:ascii="Symbol" w:hAnsi="Symbol" w:cs="Symbol"/>
    </w:rPr>
  </w:style>
  <w:style w:type="character" w:styleId="WW8Num2z4">
    <w:name w:val="WW8Num2z4"/>
    <w:qFormat/>
    <w:rPr>
      <w:rFonts w:ascii="Courier New" w:hAnsi="Courier New" w:cs="Courier New"/>
    </w:rPr>
  </w:style>
  <w:style w:type="character" w:styleId="WW8Num2z5">
    <w:name w:val="WW8Num2z5"/>
    <w:qFormat/>
    <w:rPr>
      <w:rFonts w:ascii="Wingdings" w:hAnsi="Wingdings" w:cs="Wingdings"/>
    </w:rPr>
  </w:style>
  <w:style w:type="character" w:styleId="WW8Num3z0">
    <w:name w:val="WW8Num3z0"/>
    <w:qFormat/>
    <w:rPr>
      <w:rFonts w:cs="Times New Roman"/>
    </w:rPr>
  </w:style>
  <w:style w:type="character" w:styleId="WW8Num3z1">
    <w:name w:val="WW8Num3z1"/>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cs="Times New Roman"/>
    </w:rPr>
  </w:style>
  <w:style w:type="character" w:styleId="WW8Num5z1">
    <w:name w:val="WW8Num5z1"/>
    <w:qFormat/>
    <w:rPr>
      <w:rFonts w:cs="Times New Roman"/>
    </w:rPr>
  </w:style>
  <w:style w:type="character" w:styleId="WW8Num6z0">
    <w:name w:val="WW8Num6z0"/>
    <w:qFormat/>
    <w:rPr>
      <w:rFonts w:cs="Times New Roman"/>
    </w:rPr>
  </w:style>
  <w:style w:type="character" w:styleId="WW8Num6z1">
    <w:name w:val="WW8Num6z1"/>
    <w:qFormat/>
    <w:rPr>
      <w:rFonts w:cs="Times New Roman"/>
    </w:rPr>
  </w:style>
  <w:style w:type="character" w:styleId="WW8Num7z0">
    <w:name w:val="WW8Num7z0"/>
    <w:qFormat/>
    <w:rPr>
      <w:rFonts w:ascii="Times New Roman" w:hAnsi="Times New Roman" w:cs="Times New Roman"/>
      <w:bCs w:val="false"/>
      <w:i w:val="false"/>
      <w:iCs w:val="false"/>
      <w:caps w:val="false"/>
      <w:smallCaps w:val="false"/>
      <w:strike w:val="false"/>
      <w:dstrike w:val="false"/>
      <w:vanish w:val="false"/>
      <w:color w:val="000000"/>
      <w:spacing w:val="0"/>
      <w:kern w:val="0"/>
      <w:position w:val="0"/>
      <w:sz w:val="24"/>
      <w:u w:val="none"/>
      <w:vertAlign w:val="baseline"/>
    </w:rPr>
  </w:style>
  <w:style w:type="character" w:styleId="WW8Num7z1">
    <w:name w:val="WW8Num7z1"/>
    <w:qFormat/>
    <w:rPr>
      <w:rFonts w:cs="Times New Roman"/>
    </w:rPr>
  </w:style>
  <w:style w:type="character" w:styleId="WW8Num8z0">
    <w:name w:val="WW8Num8z0"/>
    <w:qFormat/>
    <w:rPr>
      <w:rFonts w:ascii="Sylfaen" w:hAnsi="Sylfaen" w:cs="Sylfaen"/>
      <w:color w:val="000000"/>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cs="Times New Roman"/>
    </w:rPr>
  </w:style>
  <w:style w:type="character" w:styleId="WW8Num11z1">
    <w:name w:val="WW8Num11z1"/>
    <w:qFormat/>
    <w:rPr>
      <w:rFonts w:cs="Times New Roman"/>
    </w:rPr>
  </w:style>
  <w:style w:type="character" w:styleId="WW8Num12z0">
    <w:name w:val="WW8Num12z0"/>
    <w:qFormat/>
    <w:rPr>
      <w:rFonts w:cs="Times New Roman"/>
    </w:rPr>
  </w:style>
  <w:style w:type="character" w:styleId="WW8Num12z1">
    <w:name w:val="WW8Num12z1"/>
    <w:qFormat/>
    <w:rPr>
      <w:rFonts w:cs="Times New Roman"/>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rFonts w:cs="Times New Roman"/>
      <w:b/>
    </w:rPr>
  </w:style>
  <w:style w:type="character" w:styleId="WW8Num14z1">
    <w:name w:val="WW8Num14z1"/>
    <w:qFormat/>
    <w:rPr>
      <w:rFonts w:cs="Times New Roman"/>
    </w:rPr>
  </w:style>
  <w:style w:type="character" w:styleId="DefaultParagraphFont">
    <w:name w:val="Default Paragraph Font"/>
    <w:qFormat/>
    <w:rPr/>
  </w:style>
  <w:style w:type="character" w:styleId="Heading4Char">
    <w:name w:val="Heading 4 Char"/>
    <w:qFormat/>
    <w:rPr>
      <w:rFonts w:eastAsia="Times New Roman"/>
      <w:sz w:val="28"/>
      <w:lang w:val="en-US"/>
    </w:rPr>
  </w:style>
  <w:style w:type="character" w:styleId="FooterChar">
    <w:name w:val="Footer Char"/>
    <w:qFormat/>
    <w:rPr>
      <w:rFonts w:ascii=".VnTime" w:hAnsi=".VnTime" w:cs="Times New Roman"/>
      <w:sz w:val="24"/>
      <w:szCs w:val="24"/>
      <w:lang w:val="en-US"/>
    </w:rPr>
  </w:style>
  <w:style w:type="character" w:styleId="HeaderChar">
    <w:name w:val="Header Char"/>
    <w:qFormat/>
    <w:rPr>
      <w:rFonts w:ascii="Times New Roman" w:hAnsi="Times New Roman" w:cs="Times New Roman"/>
      <w:sz w:val="24"/>
      <w:szCs w:val="24"/>
      <w:lang w:val="en-US"/>
    </w:rPr>
  </w:style>
  <w:style w:type="character" w:styleId="apple-converted-space">
    <w:name w:val="apple-converted-space"/>
    <w:qFormat/>
    <w:rPr/>
  </w:style>
  <w:style w:type="character" w:styleId="Vnbnnidung">
    <w:name w:val="Văn bản nội dung_"/>
    <w:qFormat/>
    <w:rPr/>
  </w:style>
  <w:style w:type="character" w:styleId="BalloonTextChar">
    <w:name w:val="Balloon Text Char"/>
    <w:qFormat/>
    <w:rPr>
      <w:rFonts w:ascii="Segoe UI" w:hAnsi="Segoe UI" w:cs="Segoe UI"/>
      <w:sz w:val="18"/>
      <w:szCs w:val="18"/>
      <w:lang w:val="vi-VN"/>
    </w:rPr>
  </w:style>
  <w:style w:type="character" w:styleId="fontstyle01">
    <w:name w:val="fontstyle01"/>
    <w:qFormat/>
    <w:rPr>
      <w:rFonts w:ascii="TimesNewRomanPSMT;Times New Roman" w:hAnsi="TimesNewRomanPSMT;Times New Roman" w:cs="TimesNewRomanPSMT;Times New Roman"/>
      <w:b w:val="false"/>
      <w:bCs w:val="false"/>
      <w:i w:val="false"/>
      <w:iCs w:val="false"/>
      <w:color w:val="000000"/>
      <w:sz w:val="28"/>
      <w:szCs w:val="28"/>
    </w:rPr>
  </w:style>
  <w:style w:type="character" w:styleId="Heading2Char">
    <w:name w:val="Heading 2 Char"/>
    <w:qFormat/>
    <w:rPr>
      <w:rFonts w:ascii="Calibri Light" w:hAnsi="Calibri Light" w:eastAsia="Times New Roman" w:cs="Times New Roman"/>
      <w:b/>
      <w:bCs/>
      <w:i/>
      <w:iCs/>
      <w:sz w:val="28"/>
      <w:szCs w:val="28"/>
      <w:lang w:val="vi-V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ind w:hanging="0" w:start="72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spacing w:before="120" w:after="0"/>
      <w:jc w:val="both"/>
    </w:pPr>
    <w:rPr>
      <w:rFonts w:ascii=".VnTime" w:hAnsi=".VnTime" w:cs=".VnTime"/>
      <w:sz w:val="28"/>
      <w:lang w:val="en-US"/>
    </w:rPr>
  </w:style>
  <w:style w:type="paragraph" w:styleId="para">
    <w:name w:val="para"/>
    <w:basedOn w:val="Normal"/>
    <w:qFormat/>
    <w:pPr>
      <w:numPr>
        <w:ilvl w:val="0"/>
        <w:numId w:val="2"/>
      </w:numPr>
      <w:tabs>
        <w:tab w:val="clear" w:pos="720"/>
      </w:tabs>
      <w:spacing w:lineRule="auto" w:line="360" w:before="120" w:after="0"/>
      <w:ind w:firstLine="340" w:start="0" w:end="0"/>
      <w:jc w:val="both"/>
    </w:pPr>
    <w:rPr>
      <w:rFonts w:eastAsia="MS Mincho;ＭＳ 明朝"/>
      <w:sz w:val="26"/>
      <w:lang w:val="en-US" w:eastAsia="ja-JP"/>
    </w:rPr>
  </w:style>
  <w:style w:type="paragraph" w:styleId="Header">
    <w:name w:val="Header"/>
    <w:basedOn w:val="Normal"/>
    <w:pPr>
      <w:tabs>
        <w:tab w:val="clear" w:pos="720"/>
        <w:tab w:val="center" w:pos="4680" w:leader="none"/>
        <w:tab w:val="right" w:pos="9360" w:leader="none"/>
      </w:tabs>
    </w:pPr>
    <w:rPr/>
  </w:style>
  <w:style w:type="paragraph" w:styleId="CharCharChar">
    <w:name w:val=" Char Char Char"/>
    <w:basedOn w:val="Normal"/>
    <w:next w:val="Normal"/>
    <w:qFormat/>
    <w:pPr>
      <w:spacing w:lineRule="auto" w:line="312" w:before="120" w:after="120"/>
    </w:pPr>
    <w:rPr>
      <w:rFonts w:eastAsia="Times New Roman"/>
      <w:sz w:val="28"/>
      <w:szCs w:val="28"/>
      <w:lang w:val="en-US"/>
    </w:rPr>
  </w:style>
  <w:style w:type="paragraph" w:styleId="Char">
    <w:name w:val=" Char"/>
    <w:basedOn w:val="Normal"/>
    <w:qFormat/>
    <w:pPr>
      <w:spacing w:lineRule="exact" w:line="240" w:before="0" w:after="160"/>
    </w:pPr>
    <w:rPr>
      <w:rFonts w:ascii="Verdana" w:hAnsi="Verdana" w:eastAsia="Times New Roman" w:cs="Verdana"/>
      <w:sz w:val="20"/>
      <w:szCs w:val="20"/>
      <w:lang w:val="en-US"/>
    </w:rPr>
  </w:style>
  <w:style w:type="paragraph" w:styleId="NormalWeb">
    <w:name w:val="Normal (Web)"/>
    <w:basedOn w:val="Normal"/>
    <w:qFormat/>
    <w:pPr>
      <w:spacing w:before="280" w:after="280"/>
    </w:pPr>
    <w:rPr>
      <w:rFonts w:eastAsia="Times New Roman"/>
      <w:lang w:val="en-US"/>
    </w:rPr>
  </w:style>
  <w:style w:type="paragraph" w:styleId="Vnbnnidung1">
    <w:name w:val="Văn bản nội dung"/>
    <w:basedOn w:val="Normal"/>
    <w:qFormat/>
    <w:pPr>
      <w:widowControl w:val="false"/>
      <w:spacing w:lineRule="auto" w:line="288" w:before="0" w:after="200"/>
      <w:ind w:firstLine="400" w:start="0" w:end="0"/>
    </w:pPr>
    <w:rPr>
      <w:rFonts w:ascii="Calibri" w:hAnsi="Calibri" w:cs="Calibri"/>
      <w:sz w:val="20"/>
      <w:szCs w:val="20"/>
      <w:lang w:val="en-US"/>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2026-01-05T09:00:00Z</dcterms:created>
  <dc:creator>LDHai</dc:creator>
  <dc:description/>
  <cp:keywords/>
  <dc:language>en-US</dc:language>
  <cp:lastModifiedBy>USER</cp:lastModifiedBy>
  <cp:lastPrinted>2026-01-06T09:11:00Z</cp:lastPrinted>
  <dcterms:modified xsi:type="dcterms:W3CDTF">2026-01-29T04:13:00Z</dcterms:modified>
  <cp:revision>37</cp:revision>
  <dc:subject/>
  <dc:title>UBND TỈNH CÀ MAU</dc:title>
</cp:coreProperties>
</file>