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52B" w:rsidRPr="005B452B" w:rsidRDefault="005B452B" w:rsidP="005B452B">
      <w:pPr>
        <w:shd w:val="clear" w:color="auto" w:fill="FFFFFF"/>
        <w:spacing w:before="100" w:beforeAutospacing="1" w:after="100" w:afterAutospacing="1"/>
        <w:outlineLvl w:val="1"/>
        <w:rPr>
          <w:rFonts w:ascii="Helvetica" w:eastAsia="Times New Roman" w:hAnsi="Helvetica" w:cs="Helvetica"/>
          <w:b/>
          <w:bCs/>
          <w:sz w:val="36"/>
          <w:szCs w:val="36"/>
        </w:rPr>
      </w:pPr>
      <w:bookmarkStart w:id="0" w:name="_GoBack"/>
      <w:r w:rsidRPr="005B452B">
        <w:rPr>
          <w:rFonts w:ascii="Helvetica" w:eastAsia="Times New Roman" w:hAnsi="Helvetica" w:cs="Helvetica"/>
          <w:b/>
          <w:bCs/>
          <w:sz w:val="24"/>
          <w:szCs w:val="24"/>
        </w:rPr>
        <w:t xml:space="preserve">Danh sách biểu mẫu sử dụng trong thẩm định Kế hoạch phòng ngừa sự cố hóa chất </w:t>
      </w:r>
      <w:bookmarkEnd w:id="0"/>
      <w:r w:rsidRPr="005B452B">
        <w:rPr>
          <w:rFonts w:ascii="Helvetica" w:eastAsia="Times New Roman" w:hAnsi="Helvetica" w:cs="Helvetica"/>
          <w:b/>
          <w:bCs/>
          <w:sz w:val="24"/>
          <w:szCs w:val="24"/>
        </w:rPr>
        <w:t>mới nhất năm 2026 ra sao?</w:t>
      </w:r>
    </w:p>
    <w:p w:rsidR="005B452B" w:rsidRPr="005B452B" w:rsidRDefault="005B452B" w:rsidP="005B452B">
      <w:pPr>
        <w:shd w:val="clear" w:color="auto" w:fill="FFFFFF"/>
        <w:spacing w:after="100" w:afterAutospacing="1"/>
        <w:rPr>
          <w:rFonts w:ascii="Helvetica" w:eastAsia="Times New Roman" w:hAnsi="Helvetica" w:cs="Helvetica"/>
          <w:color w:val="191C1E"/>
          <w:sz w:val="24"/>
          <w:szCs w:val="24"/>
        </w:rPr>
      </w:pPr>
      <w:r w:rsidRPr="005B452B">
        <w:rPr>
          <w:rFonts w:ascii="Helvetica" w:eastAsia="Times New Roman" w:hAnsi="Helvetica" w:cs="Helvetica"/>
          <w:color w:val="191C1E"/>
          <w:sz w:val="24"/>
          <w:szCs w:val="24"/>
        </w:rPr>
        <w:t>Căn cứ theo quy định tại Điều 4 </w:t>
      </w:r>
      <w:hyperlink r:id="rId4" w:tgtFrame="_blank" w:history="1">
        <w:r w:rsidRPr="005B452B">
          <w:rPr>
            <w:rFonts w:ascii="Helvetica" w:eastAsia="Times New Roman" w:hAnsi="Helvetica" w:cs="Helvetica"/>
            <w:color w:val="904D00"/>
            <w:sz w:val="24"/>
            <w:szCs w:val="24"/>
            <w:u w:val="single"/>
          </w:rPr>
          <w:t>Thông tư 02/2026/TT-BCT</w:t>
        </w:r>
      </w:hyperlink>
      <w:r w:rsidRPr="005B452B">
        <w:rPr>
          <w:rFonts w:ascii="Helvetica" w:eastAsia="Times New Roman" w:hAnsi="Helvetica" w:cs="Helvetica"/>
          <w:color w:val="191C1E"/>
          <w:sz w:val="24"/>
          <w:szCs w:val="24"/>
        </w:rPr>
        <w:t> có hướng dẫn quy định về phòng ngừa ứng phó sự cố hóa chất như sau:</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b/>
          <w:bCs/>
          <w:i/>
          <w:iCs/>
          <w:sz w:val="24"/>
          <w:szCs w:val="24"/>
        </w:rPr>
        <w:t>Phòng ngừa, ứng phó sự cố hóa chất</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i/>
          <w:iCs/>
          <w:sz w:val="24"/>
          <w:szCs w:val="24"/>
        </w:rPr>
        <w:t>1. 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 thực hiện theo hướng dẫn tại Phụ lục II ban hành kèm theo Thông tư này.</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b/>
          <w:bCs/>
          <w:i/>
          <w:iCs/>
          <w:sz w:val="24"/>
          <w:szCs w:val="24"/>
        </w:rPr>
        <w:t>2. Các biểu mẫu sử dụng trong thẩm định, phê duyệt Kế hoạch phòng ngừa ứng phó sự cố hóa chất được quy định tại Phụ lục III ban hành kèm theo Thông tư này, bao gồm:</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i/>
          <w:iCs/>
          <w:sz w:val="24"/>
          <w:szCs w:val="24"/>
        </w:rPr>
        <w:t>a) Mẫu 03a: Mẫu văn bản đề nghị thẩm định Kế hoạch phòng ngừa, ứng phó sự cố hóa chất;</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i/>
          <w:iCs/>
          <w:sz w:val="24"/>
          <w:szCs w:val="24"/>
        </w:rPr>
        <w:t>b) Mẫu 03b: Mẫu biên bản và thông báo kết quả thẩm định Kế hoạch phòng ngừa, ứng phó sự cố hóa chất;</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i/>
          <w:iCs/>
          <w:sz w:val="24"/>
          <w:szCs w:val="24"/>
        </w:rPr>
        <w:t>c) Mẫu 03c: Mẫu phiếu nhận xét, đánh giá Kế hoạch phòng ngừa, ứng phó sự cố hóa chất của các thành viên Hội đồng thẩm định;</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i/>
          <w:iCs/>
          <w:sz w:val="24"/>
          <w:szCs w:val="24"/>
        </w:rPr>
        <w:t>d) Mẫu 03d: Mẫu báo cáo về kết quả thực hiện các yêu cầu của Hội đồng thẩm định;</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i/>
          <w:iCs/>
          <w:sz w:val="24"/>
          <w:szCs w:val="24"/>
        </w:rPr>
        <w:t>đ) Mẫu 03đ: Mẫu biên bản và báo cáo kết quả kiểm tra của Hội đồng thẩm định;</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i/>
          <w:iCs/>
          <w:sz w:val="24"/>
          <w:szCs w:val="24"/>
        </w:rPr>
        <w:t>e) Mẫu 03e: Mẫu dấu chứng thực vào trang phụ bìa của bản Kế hoạch phòng ngừa, ứng phó sự cố hóa chất được phê duyệt.</w:t>
      </w:r>
    </w:p>
    <w:p w:rsidR="005B452B" w:rsidRPr="005B452B" w:rsidRDefault="005B452B" w:rsidP="005B452B">
      <w:pPr>
        <w:shd w:val="clear" w:color="auto" w:fill="FFFFFF"/>
        <w:rPr>
          <w:rFonts w:ascii="Helvetica" w:eastAsia="Times New Roman" w:hAnsi="Helvetica" w:cs="Helvetica"/>
          <w:i/>
          <w:iCs/>
          <w:sz w:val="24"/>
          <w:szCs w:val="24"/>
        </w:rPr>
      </w:pPr>
      <w:r w:rsidRPr="005B452B">
        <w:rPr>
          <w:rFonts w:ascii="Helvetica" w:eastAsia="Times New Roman" w:hAnsi="Helvetica" w:cs="Helvetica"/>
          <w:i/>
          <w:iCs/>
          <w:sz w:val="24"/>
          <w:szCs w:val="24"/>
        </w:rPr>
        <w:t>3. Cục Hóa chất thẩm định, phê duyệt Kế hoạch phòng ngừa, ứng phó sự cố hóa chất trong lĩnh vực dân sự đối với các đối tượng thuộc quy định tại điểm a khoản 2 Điều 33 Nghị định số 25/2026/NĐ-CP.</w:t>
      </w:r>
    </w:p>
    <w:p w:rsidR="005B452B" w:rsidRPr="005B452B" w:rsidRDefault="005B452B" w:rsidP="005B452B">
      <w:pPr>
        <w:shd w:val="clear" w:color="auto" w:fill="FFFFFF"/>
        <w:spacing w:before="100" w:beforeAutospacing="1" w:after="100" w:afterAutospacing="1"/>
        <w:rPr>
          <w:rFonts w:ascii="Helvetica" w:eastAsia="Times New Roman" w:hAnsi="Helvetica" w:cs="Helvetica"/>
          <w:color w:val="191C1E"/>
          <w:sz w:val="24"/>
          <w:szCs w:val="24"/>
        </w:rPr>
      </w:pPr>
      <w:r w:rsidRPr="005B452B">
        <w:rPr>
          <w:rFonts w:ascii="Helvetica" w:eastAsia="Times New Roman" w:hAnsi="Helvetica" w:cs="Helvetica"/>
          <w:color w:val="191C1E"/>
          <w:sz w:val="24"/>
          <w:szCs w:val="24"/>
        </w:rPr>
        <w:t>Theo đó, danh sách biểu mẫu sử dụng trong thẩm định, phê duyệt Kế hoạch phòng ngừa ứng phó sự cố hóa chất được quy định tại Phụ lục III ban hành kèm theo </w:t>
      </w:r>
      <w:hyperlink r:id="rId5" w:tgtFrame="_blank" w:history="1">
        <w:r w:rsidRPr="005B452B">
          <w:rPr>
            <w:rFonts w:ascii="Helvetica" w:eastAsia="Times New Roman" w:hAnsi="Helvetica" w:cs="Helvetica"/>
            <w:color w:val="904D00"/>
            <w:sz w:val="24"/>
            <w:szCs w:val="24"/>
            <w:u w:val="single"/>
          </w:rPr>
          <w:t>Thông tư 02/TT-BCT năm 2026</w:t>
        </w:r>
      </w:hyperlink>
      <w:r w:rsidRPr="005B452B">
        <w:rPr>
          <w:rFonts w:ascii="Helvetica" w:eastAsia="Times New Roman" w:hAnsi="Helvetica" w:cs="Helvetica"/>
          <w:color w:val="191C1E"/>
          <w:sz w:val="24"/>
          <w:szCs w:val="24"/>
        </w:rPr>
        <w:t>,</w:t>
      </w:r>
    </w:p>
    <w:p w:rsidR="00885176" w:rsidRDefault="00885176"/>
    <w:sectPr w:rsidR="00885176" w:rsidSect="00EB64C7">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52B"/>
    <w:rsid w:val="005B452B"/>
    <w:rsid w:val="00885176"/>
    <w:rsid w:val="00EB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9FC3FA-8B56-4EA3-9DE0-13A1281EF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452B"/>
    <w:pPr>
      <w:spacing w:before="100" w:beforeAutospacing="1" w:after="100" w:afterAutospacing="1"/>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452B"/>
    <w:rPr>
      <w:rFonts w:eastAsia="Times New Roman" w:cs="Times New Roman"/>
      <w:b/>
      <w:bCs/>
      <w:sz w:val="36"/>
      <w:szCs w:val="36"/>
    </w:rPr>
  </w:style>
  <w:style w:type="character" w:styleId="Strong">
    <w:name w:val="Strong"/>
    <w:basedOn w:val="DefaultParagraphFont"/>
    <w:uiPriority w:val="22"/>
    <w:qFormat/>
    <w:rsid w:val="005B452B"/>
    <w:rPr>
      <w:b/>
      <w:bCs/>
    </w:rPr>
  </w:style>
  <w:style w:type="paragraph" w:styleId="NormalWeb">
    <w:name w:val="Normal (Web)"/>
    <w:basedOn w:val="Normal"/>
    <w:uiPriority w:val="99"/>
    <w:semiHidden/>
    <w:unhideWhenUsed/>
    <w:rsid w:val="005B452B"/>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semiHidden/>
    <w:unhideWhenUsed/>
    <w:rsid w:val="005B452B"/>
    <w:rPr>
      <w:color w:val="0000FF"/>
      <w:u w:val="single"/>
    </w:rPr>
  </w:style>
  <w:style w:type="character" w:styleId="Emphasis">
    <w:name w:val="Emphasis"/>
    <w:basedOn w:val="DefaultParagraphFont"/>
    <w:uiPriority w:val="20"/>
    <w:qFormat/>
    <w:rsid w:val="005B45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010920">
      <w:bodyDiv w:val="1"/>
      <w:marLeft w:val="0"/>
      <w:marRight w:val="0"/>
      <w:marTop w:val="0"/>
      <w:marBottom w:val="0"/>
      <w:divBdr>
        <w:top w:val="none" w:sz="0" w:space="0" w:color="auto"/>
        <w:left w:val="none" w:sz="0" w:space="0" w:color="auto"/>
        <w:bottom w:val="none" w:sz="0" w:space="0" w:color="auto"/>
        <w:right w:val="none" w:sz="0" w:space="0" w:color="auto"/>
      </w:divBdr>
      <w:divsChild>
        <w:div w:id="643319759">
          <w:blockQuote w:val="1"/>
          <w:marLeft w:val="0"/>
          <w:marRight w:val="0"/>
          <w:marTop w:val="100"/>
          <w:marBottom w:val="100"/>
          <w:divBdr>
            <w:top w:val="none" w:sz="0" w:space="0" w:color="auto"/>
            <w:left w:val="single" w:sz="24" w:space="0" w:color="FFA726"/>
            <w:bottom w:val="none" w:sz="0" w:space="0" w:color="auto"/>
            <w:right w:val="none" w:sz="0" w:space="0" w:color="auto"/>
          </w:divBdr>
        </w:div>
        <w:div w:id="1987781039">
          <w:blockQuote w:val="1"/>
          <w:marLeft w:val="0"/>
          <w:marRight w:val="0"/>
          <w:marTop w:val="100"/>
          <w:marBottom w:val="100"/>
          <w:divBdr>
            <w:top w:val="none" w:sz="0" w:space="0" w:color="auto"/>
            <w:left w:val="single" w:sz="24" w:space="0" w:color="FFA726"/>
            <w:bottom w:val="none" w:sz="0" w:space="0" w:color="auto"/>
            <w:right w:val="none" w:sz="0" w:space="0" w:color="auto"/>
          </w:divBdr>
        </w:div>
        <w:div w:id="899096030">
          <w:blockQuote w:val="1"/>
          <w:marLeft w:val="0"/>
          <w:marRight w:val="0"/>
          <w:marTop w:val="100"/>
          <w:marBottom w:val="100"/>
          <w:divBdr>
            <w:top w:val="none" w:sz="0" w:space="0" w:color="auto"/>
            <w:left w:val="single" w:sz="24" w:space="0" w:color="FFA726"/>
            <w:bottom w:val="none" w:sz="0" w:space="0" w:color="auto"/>
            <w:right w:val="none" w:sz="0" w:space="0" w:color="auto"/>
          </w:divBdr>
        </w:div>
        <w:div w:id="1498033313">
          <w:blockQuote w:val="1"/>
          <w:marLeft w:val="0"/>
          <w:marRight w:val="0"/>
          <w:marTop w:val="100"/>
          <w:marBottom w:val="100"/>
          <w:divBdr>
            <w:top w:val="none" w:sz="0" w:space="0" w:color="auto"/>
            <w:left w:val="single" w:sz="24" w:space="0" w:color="FFA726"/>
            <w:bottom w:val="none" w:sz="0" w:space="0" w:color="auto"/>
            <w:right w:val="none" w:sz="0" w:space="0" w:color="auto"/>
          </w:divBdr>
        </w:div>
        <w:div w:id="750584181">
          <w:blockQuote w:val="1"/>
          <w:marLeft w:val="0"/>
          <w:marRight w:val="0"/>
          <w:marTop w:val="100"/>
          <w:marBottom w:val="100"/>
          <w:divBdr>
            <w:top w:val="none" w:sz="0" w:space="0" w:color="auto"/>
            <w:left w:val="single" w:sz="24" w:space="0" w:color="FFA726"/>
            <w:bottom w:val="none" w:sz="0" w:space="0" w:color="auto"/>
            <w:right w:val="none" w:sz="0" w:space="0" w:color="auto"/>
          </w:divBdr>
        </w:div>
        <w:div w:id="1784496883">
          <w:blockQuote w:val="1"/>
          <w:marLeft w:val="0"/>
          <w:marRight w:val="0"/>
          <w:marTop w:val="100"/>
          <w:marBottom w:val="100"/>
          <w:divBdr>
            <w:top w:val="none" w:sz="0" w:space="0" w:color="auto"/>
            <w:left w:val="single" w:sz="24" w:space="0" w:color="FFA726"/>
            <w:bottom w:val="none" w:sz="0" w:space="0" w:color="auto"/>
            <w:right w:val="none" w:sz="0" w:space="0" w:color="auto"/>
          </w:divBdr>
        </w:div>
        <w:div w:id="2012371282">
          <w:blockQuote w:val="1"/>
          <w:marLeft w:val="0"/>
          <w:marRight w:val="0"/>
          <w:marTop w:val="100"/>
          <w:marBottom w:val="100"/>
          <w:divBdr>
            <w:top w:val="none" w:sz="0" w:space="0" w:color="auto"/>
            <w:left w:val="single" w:sz="24" w:space="0" w:color="FFA726"/>
            <w:bottom w:val="none" w:sz="0" w:space="0" w:color="auto"/>
            <w:right w:val="none" w:sz="0" w:space="0" w:color="auto"/>
          </w:divBdr>
        </w:div>
        <w:div w:id="821432936">
          <w:blockQuote w:val="1"/>
          <w:marLeft w:val="0"/>
          <w:marRight w:val="0"/>
          <w:marTop w:val="100"/>
          <w:marBottom w:val="100"/>
          <w:divBdr>
            <w:top w:val="none" w:sz="0" w:space="0" w:color="auto"/>
            <w:left w:val="single" w:sz="24" w:space="0" w:color="FFA726"/>
            <w:bottom w:val="none" w:sz="0" w:space="0" w:color="auto"/>
            <w:right w:val="none" w:sz="0" w:space="0" w:color="auto"/>
          </w:divBdr>
        </w:div>
        <w:div w:id="608051483">
          <w:blockQuote w:val="1"/>
          <w:marLeft w:val="0"/>
          <w:marRight w:val="0"/>
          <w:marTop w:val="100"/>
          <w:marBottom w:val="100"/>
          <w:divBdr>
            <w:top w:val="none" w:sz="0" w:space="0" w:color="auto"/>
            <w:left w:val="single" w:sz="24" w:space="0" w:color="FFA726"/>
            <w:bottom w:val="none" w:sz="0" w:space="0" w:color="auto"/>
            <w:right w:val="none" w:sz="0" w:space="0" w:color="auto"/>
          </w:divBdr>
        </w:div>
        <w:div w:id="289669738">
          <w:blockQuote w:val="1"/>
          <w:marLeft w:val="0"/>
          <w:marRight w:val="0"/>
          <w:marTop w:val="100"/>
          <w:marBottom w:val="100"/>
          <w:divBdr>
            <w:top w:val="none" w:sz="0" w:space="0" w:color="auto"/>
            <w:left w:val="single" w:sz="24" w:space="0" w:color="FFA726"/>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Linh-vuc-khac/Thong-tu-02-2026-TT-BCT-huong-dan-Luat-Hoa-chat-va-Nghi-dinh-25-2026-ND-CP-683266.aspx?anchor=chuong_pl_7" TargetMode="External"/><Relationship Id="rId4" Type="http://schemas.openxmlformats.org/officeDocument/2006/relationships/hyperlink" Target="https://thuvienphapluat.vn/van-ban/Linh-vuc-khac/Thong-tu-02-2026-TT-BCT-huong-dan-Luat-Hoa-chat-va-Nghi-dinh-25-2026-ND-CP-683266.aspx?anchor=dieu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1745</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Danh sách biểu mẫu sử dụng trong thẩm định Kế hoạch phòng ngừa sự cố hóa chất mớ</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2026-07-05T02:11:00Z</dcterms:created>
  <dcterms:modified xsi:type="dcterms:W3CDTF">2026-07-05T02:11:00Z</dcterms:modified>
</cp:coreProperties>
</file>