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b/>
          <w:bCs/>
          <w:i w:val="false"/>
          <w:iCs w:val="false"/>
          <w:sz w:val="28"/>
          <w:szCs w:val="28"/>
        </w:rPr>
        <w:t xml:space="preserve">NHẬN XÉT, PHẢN BIỆN PHÁP LÝ</w:t>
      </w:r>
    </w:p>
    <w:p>
      <w:pPr>
        <w:spacing w:after="60" w:before="0"/>
        <w:jc w:val="center"/>
      </w:pPr>
      <w:r>
        <w:rPr>
          <w:rFonts w:ascii="Times New Roman" w:cs="Times New Roman" w:eastAsia="Times New Roman" w:hAnsi="Times New Roman"/>
          <w:b/>
          <w:bCs/>
          <w:i w:val="false"/>
          <w:iCs w:val="false"/>
          <w:sz w:val="28"/>
          <w:szCs w:val="28"/>
        </w:rPr>
        <w:t xml:space="preserve">Hồ sơ kho chứa vật liệu nổ công nghiệp phục vụ thi công Dự án thủy điện Ngòi Nhù 1A, xã Chiềng Ken, tỉnh Lào Cai</w:t>
      </w:r>
    </w:p>
    <w:p>
      <w:pPr>
        <w:spacing w:after="240" w:before="0"/>
        <w:jc w:val="center"/>
      </w:pPr>
      <w:r>
        <w:rPr>
          <w:rFonts w:ascii="Times New Roman" w:cs="Times New Roman" w:eastAsia="Times New Roman" w:hAnsi="Times New Roman"/>
          <w:b w:val="false"/>
          <w:bCs w:val="false"/>
          <w:i/>
          <w:iCs/>
          <w:sz w:val="28"/>
          <w:szCs w:val="28"/>
        </w:rPr>
        <w:t xml:space="preserve">(Phản biện ở tầng trình tự thực hiện, thẩm quyền, đầu mục danh mục hồ sơ — xem như bộ mẫu chung cho các hồ sơ tương tự; không đi sâu nội dung kỹ thuật từng hạng mục)</w:t>
      </w:r>
    </w:p>
    <w:p>
      <w:pPr>
        <w:spacing w:after="120" w:before="120" w:line="240" w:lineRule="auto"/>
        <w:ind w:firstLine="567"/>
        <w:jc w:val="both"/>
      </w:pPr>
      <w:r>
        <w:rPr>
          <w:rFonts w:ascii="Times New Roman" w:cs="Times New Roman" w:eastAsia="Times New Roman" w:hAnsi="Times New Roman"/>
          <w:b w:val="false"/>
          <w:bCs w:val="false"/>
          <w:i w:val="false"/>
          <w:iCs w:val="false"/>
          <w:sz w:val="28"/>
          <w:szCs w:val="28"/>
        </w:rPr>
        <w:t xml:space="preserve">Hồ sơ được đối chiếu với khung pháp lý hiện hành: Luật Xây dựng (sửa đổi, bổ sung năm 2020); Nghị định số 06/2021/NĐ-CP (được sửa đổi, bổ sung bởi Nghị định số 35/2023/NĐ-CP); Nghị định số 175/2024/NĐ-CP; Luật Phòng cháy, chữa cháy và cứu nạn, cứu hộ số 55/2024/QH15 và Nghị định số 105/2025/NĐ-CP; Luật Quản lý, sử dụng vũ khí, vật liệu nổ và công cụ hỗ trợ số 42/2024/QH15 và các văn bản hướng dẫn; đồng thời đối chiếu với tiền lệ xử lý của Sở Công Thương đối với kho VLNCN tạm Thủy điện Nậm Cang 1A (Kế hoạch kiểm tra tại Công văn số 1629/SCT-CN ngày 27/3/2026; Thông báo chấp thuận số 1732/TB-SCT ngày 02/4/2026).</w:t>
      </w:r>
    </w:p>
    <w:p>
      <w:pPr>
        <w:spacing w:after="120" w:before="120" w:line="240" w:lineRule="auto"/>
        <w:ind w:firstLine="567"/>
        <w:jc w:val="both"/>
      </w:pPr>
      <w:r>
        <w:rPr>
          <w:rFonts w:ascii="Times New Roman" w:cs="Times New Roman" w:eastAsia="Times New Roman" w:hAnsi="Times New Roman"/>
          <w:b/>
          <w:bCs/>
          <w:i w:val="false"/>
          <w:iCs w:val="false"/>
          <w:sz w:val="28"/>
          <w:szCs w:val="28"/>
        </w:rPr>
        <w:t xml:space="preserve">I. XÁC LẬP SAI/KHÔNG NHẤT QUÁN KHUNG PHÁP LÝ GỐC CỦA CÔNG TRÌNH</w:t>
      </w:r>
    </w:p>
    <w:p>
      <w:pPr>
        <w:spacing w:after="120" w:before="120" w:line="240" w:lineRule="auto"/>
        <w:ind w:firstLine="567"/>
        <w:jc w:val="both"/>
      </w:pPr>
      <w:r>
        <w:rPr>
          <w:rFonts w:ascii="Times New Roman" w:cs="Times New Roman" w:eastAsia="Times New Roman" w:hAnsi="Times New Roman"/>
          <w:b w:val="false"/>
          <w:bCs w:val="false"/>
          <w:i w:val="false"/>
          <w:iCs w:val="false"/>
          <w:sz w:val="28"/>
          <w:szCs w:val="28"/>
        </w:rPr>
        <w:t xml:space="preserve">Đây là lỗi nền tảng, kéo theo các vấn đề trình tự phía sau:</w:t>
      </w:r>
    </w:p>
    <w:p>
      <w:pPr>
        <w:spacing w:after="120" w:before="120" w:line="240" w:lineRule="auto"/>
        <w:ind w:firstLine="567"/>
        <w:jc w:val="both"/>
      </w:pPr>
      <w:r>
        <w:rPr>
          <w:rFonts w:ascii="Times New Roman" w:cs="Times New Roman" w:eastAsia="Times New Roman" w:hAnsi="Times New Roman"/>
          <w:b/>
          <w:bCs/>
          <w:i w:val="false"/>
          <w:iCs w:val="false"/>
          <w:sz w:val="28"/>
          <w:szCs w:val="28"/>
        </w:rPr>
        <w:t xml:space="preserve">1. Hồ sơ tự mâu thuẫn về tư cách công trình. </w:t>
      </w:r>
      <w:r>
        <w:rPr>
          <w:rFonts w:ascii="Times New Roman" w:cs="Times New Roman" w:eastAsia="Times New Roman" w:hAnsi="Times New Roman"/>
          <w:b w:val="false"/>
          <w:bCs w:val="false"/>
          <w:i w:val="false"/>
          <w:iCs w:val="false"/>
          <w:sz w:val="28"/>
          <w:szCs w:val="28"/>
        </w:rPr>
        <w:t xml:space="preserve">Danh mục hồ sơ (Phụ lục 02, mục I.7 Biên bản kiểm tra ngày 18/6/2026) xác định đây là công trình tạm phục vụ thi công (thuộc trường hợp miễn giấy phép xây dựng), nhưng Thuyết minh thiết kế lại ghi “Cấp công trình: Cấp II”, còn Phụ lục 01 của Biên bản khẳng định kho “được Sở Công Thương tỉnh Lào Cai thẩm định thiết kế xây dựng triển khai sau thiết kế cơ sở” — trong khi toàn bộ hồ sơ thiết kế chỉ có dấu thẩm định nội bộ của chính Chủ đầu tư (Văn bản số 611/2026/BCTĐ-TVGS ngày 08/5/2026) và thẩm tra của tư vấn Sơn Thái (Văn bản số 07/2026/TTr-ST ngày 07/5/2026); không có văn bản thẩm định nào của Sở trong hồ sơ. Nếu đúng là công trình tạm thì câu khẳng định tại Phụ lục 01 là không đúng thực tế trong văn bản do chính Sở lập; nếu đúng là công trình cấp II thuộc diện thẩm định tại cơ quan chuyên môn về xây dựng thì hồ sơ thiếu hẳn bước thẩm định của Sở. Bộ hồ sơ mẫu phải chọn một trong hai hướng và bảo đảm nhất quán xuyên suốt.</w:t>
      </w:r>
    </w:p>
    <w:p>
      <w:pPr>
        <w:spacing w:after="120" w:before="120" w:line="240" w:lineRule="auto"/>
        <w:ind w:firstLine="567"/>
        <w:jc w:val="both"/>
      </w:pPr>
      <w:r>
        <w:rPr>
          <w:rFonts w:ascii="Times New Roman" w:cs="Times New Roman" w:eastAsia="Times New Roman" w:hAnsi="Times New Roman"/>
          <w:b/>
          <w:bCs/>
          <w:i w:val="false"/>
          <w:iCs w:val="false"/>
          <w:sz w:val="28"/>
          <w:szCs w:val="28"/>
        </w:rPr>
        <w:t xml:space="preserve">2. Thiếu bước bắt buộc của công trình tạm theo Điều 131 Luật Xây dựng (sửa đổi năm 2020). </w:t>
      </w:r>
      <w:r>
        <w:rPr>
          <w:rFonts w:ascii="Times New Roman" w:cs="Times New Roman" w:eastAsia="Times New Roman" w:hAnsi="Times New Roman"/>
          <w:b w:val="false"/>
          <w:bCs w:val="false"/>
          <w:i w:val="false"/>
          <w:iCs w:val="false"/>
          <w:sz w:val="28"/>
          <w:szCs w:val="28"/>
        </w:rPr>
        <w:t xml:space="preserve">Kho VLNCN là công trình tạm có ảnh hưởng lớn đến an toàn, lợi ích cộng đồng, nên thiết kế xây dựng phải được thẩm tra về điều kiện bảo đảm an toàn và gửi cơ quan chuyên môn về xây dựng tại địa phương (Sở Công Thương) để theo dõi, kiểm tra TRƯỚC khi thi công. Hồ sơ có thẩm tra của tư vấn Sơn Thái nhưng không có tài liệu chứng minh Chủ đầu tư đã gửi thiết kế cho Sở trước thời điểm khởi công (Thông báo khởi công số 65/TB-CT ngày 21/5/2026). Đây là đầu mục cần bổ sung vào danh mục hồ sơ chuẩn.</w:t>
      </w:r>
    </w:p>
    <w:p>
      <w:pPr>
        <w:spacing w:after="120" w:before="120" w:line="240" w:lineRule="auto"/>
        <w:ind w:firstLine="567"/>
        <w:jc w:val="both"/>
      </w:pPr>
      <w:r>
        <w:rPr>
          <w:rFonts w:ascii="Times New Roman" w:cs="Times New Roman" w:eastAsia="Times New Roman" w:hAnsi="Times New Roman"/>
          <w:b/>
          <w:bCs/>
          <w:i w:val="false"/>
          <w:iCs w:val="false"/>
          <w:sz w:val="28"/>
          <w:szCs w:val="28"/>
        </w:rPr>
        <w:t xml:space="preserve">II. SAI TRÌNH TỰ NGHIỆM THU — ĐƯA VÀO SỬ DỤNG</w:t>
      </w:r>
    </w:p>
    <w:p>
      <w:pPr>
        <w:spacing w:after="120" w:before="120" w:line="240" w:lineRule="auto"/>
        <w:ind w:firstLine="567"/>
        <w:jc w:val="both"/>
      </w:pPr>
      <w:r>
        <w:rPr>
          <w:rFonts w:ascii="Times New Roman" w:cs="Times New Roman" w:eastAsia="Times New Roman" w:hAnsi="Times New Roman"/>
          <w:b/>
          <w:bCs/>
          <w:i w:val="false"/>
          <w:iCs w:val="false"/>
          <w:sz w:val="28"/>
          <w:szCs w:val="28"/>
        </w:rPr>
        <w:t xml:space="preserve">1. Nghiệm thu hoàn thành, bàn giao đưa vào sử dụng trước khi có văn bản chấp thuận của cơ quan nhà nước. </w:t>
      </w:r>
      <w:r>
        <w:rPr>
          <w:rFonts w:ascii="Times New Roman" w:cs="Times New Roman" w:eastAsia="Times New Roman" w:hAnsi="Times New Roman"/>
          <w:b w:val="false"/>
          <w:bCs w:val="false"/>
          <w:i w:val="false"/>
          <w:iCs w:val="false"/>
          <w:sz w:val="28"/>
          <w:szCs w:val="28"/>
        </w:rPr>
        <w:t xml:space="preserve">Biên bản nghiệm thu hoàn thành ngày 13/6/2026 ghi “Đồng ý bàn giao cho chủ đầu tư quản lý và sử dụng kể từ ngày nghiệm thu hoàn thành”, trong khi Sở kiểm tra công tác nghiệm thu ngày 18/6/2026 và đến nay chưa ban hành văn bản thông báo kết quả (Phụ lục 02, mục 14 tự ghi nhận “chưa phát sinh”). Theo Điều 23 Nghị định số 06/2021/NĐ-CP (sửa đổi, bổ sung bởi Nghị định số 35/2023/NĐ-CP), công trình thuộc diện kiểm tra công tác nghiệm thu chỉ được đưa vào khai thác, sử dụng sau khi có văn bản chấp thuận kết quả nghiệm thu của cơ quan có thẩm quyền. Biên bản mẫu của Chủ đầu tư cần bổ sung điều kiện: chỉ đưa công trình vào sử dụng sau khi có văn bản chấp thuận của cơ quan có thẩm quyền.</w:t>
      </w:r>
    </w:p>
    <w:p>
      <w:pPr>
        <w:spacing w:after="120" w:before="120" w:line="240" w:lineRule="auto"/>
        <w:ind w:firstLine="567"/>
        <w:jc w:val="both"/>
      </w:pPr>
      <w:r>
        <w:rPr>
          <w:rFonts w:ascii="Times New Roman" w:cs="Times New Roman" w:eastAsia="Times New Roman" w:hAnsi="Times New Roman"/>
          <w:b/>
          <w:bCs/>
          <w:i w:val="false"/>
          <w:iCs w:val="false"/>
          <w:sz w:val="28"/>
          <w:szCs w:val="28"/>
        </w:rPr>
        <w:t xml:space="preserve">2. Không bảo đảm thời hạn thông báo trước nghiệm thu. </w:t>
      </w:r>
      <w:r>
        <w:rPr>
          <w:rFonts w:ascii="Times New Roman" w:cs="Times New Roman" w:eastAsia="Times New Roman" w:hAnsi="Times New Roman"/>
          <w:b w:val="false"/>
          <w:bCs w:val="false"/>
          <w:i w:val="false"/>
          <w:iCs w:val="false"/>
          <w:sz w:val="28"/>
          <w:szCs w:val="28"/>
        </w:rPr>
        <w:t xml:space="preserve">Báo cáo hoàn thành thi công số 92/BC-HTGT lập cùng ngày 13/6/2026 với Biên bản nghiệm thu hoàn thành — Chủ đầu tư không gửi thông báo trước cho Sở theo thời hạn quy định tại Điều 23 Nghị định số 06/2021/NĐ-CP (tối thiểu 10 ngày đối với công trình dưới cấp I). Sở nhận báo cáo ngày 13/6, ban hành Thông báo kế hoạch kiểm tra số 3517/SCT-CN ngày 17/6 và kiểm tra ngay ngày 18/6 — về hình thức Sở xử lý nhanh không sai, nhưng chuỗi thời gian này thể hiện quy trình bị “nén” để hợp thức hóa việc đã nghiệm thu xong, dễ bị bắt lỗi khi thanh tra, kiểm toán.</w:t>
      </w:r>
    </w:p>
    <w:p>
      <w:pPr>
        <w:spacing w:after="120" w:before="120" w:line="240" w:lineRule="auto"/>
        <w:ind w:firstLine="567"/>
        <w:jc w:val="both"/>
      </w:pPr>
      <w:r>
        <w:rPr>
          <w:rFonts w:ascii="Times New Roman" w:cs="Times New Roman" w:eastAsia="Times New Roman" w:hAnsi="Times New Roman"/>
          <w:b/>
          <w:bCs/>
          <w:i w:val="false"/>
          <w:iCs w:val="false"/>
          <w:sz w:val="28"/>
          <w:szCs w:val="28"/>
        </w:rPr>
        <w:t xml:space="preserve">III. VẤN ĐỀ PCCC — THIẾU MẮT XÍCH SO VỚI TIỀN LỆ CỦA SỞ</w:t>
      </w:r>
    </w:p>
    <w:p>
      <w:pPr>
        <w:spacing w:after="120" w:before="120" w:line="240" w:lineRule="auto"/>
        <w:ind w:firstLine="567"/>
        <w:jc w:val="both"/>
      </w:pPr>
      <w:r>
        <w:rPr>
          <w:rFonts w:ascii="Times New Roman" w:cs="Times New Roman" w:eastAsia="Times New Roman" w:hAnsi="Times New Roman"/>
          <w:b/>
          <w:bCs/>
          <w:i w:val="false"/>
          <w:iCs w:val="false"/>
          <w:sz w:val="28"/>
          <w:szCs w:val="28"/>
        </w:rPr>
        <w:t xml:space="preserve">1. Thiếu văn bản nghiệm thu về PCCC của cơ quan Công an. </w:t>
      </w:r>
      <w:r>
        <w:rPr>
          <w:rFonts w:ascii="Times New Roman" w:cs="Times New Roman" w:eastAsia="Times New Roman" w:hAnsi="Times New Roman"/>
          <w:b w:val="false"/>
          <w:bCs w:val="false"/>
          <w:i w:val="false"/>
          <w:iCs w:val="false"/>
          <w:sz w:val="28"/>
          <w:szCs w:val="28"/>
        </w:rPr>
        <w:t xml:space="preserve">Hồ sơ chỉ có Biên bản kiểm tra về PCCC ngày 09/6/2026 (Mẫu số PC03) của Phòng Cảnh sát PCCC và CNCH — đây là biên bản kiểm tra hành chính/định kỳ, không phải văn bản chấp thuận kết quả nghiệm thu về PCCC đối với 02 nội dung thuộc thẩm quyền cơ quan Công an. So với tiền lệ kho VLNCN Nậm Cang 1A (hồ sơ có văn bản chấp thuận nghiệm thu PCCC của Phòng Cảnh sát PCCC và Giấy chứng nhận đủ điều kiện về an ninh, trật tự trước khi Sở ban hành Thông báo số 1732/TB-SCT), bộ hồ sơ này thiếu 02 đầu mục nêu trên. Trường hợp lập luận công trình tạm không thuộc diện thẩm định/nghiệm thu PCCC (không thỏa “điều kiện kép” tại Điều 6 Nghị định số 105/2025/NĐ-CP), thì Biên bản ngày 18/6/2026 không nên viện dẫn điểm a khoản 5 Điều 18 Luật số 55/2024/QH15 như đang viết — phải chọn một khung pháp lý và lập luận nhất quán ngay trong biên bản mẫu.</w:t>
      </w:r>
    </w:p>
    <w:p>
      <w:pPr>
        <w:spacing w:after="120" w:before="120" w:line="240" w:lineRule="auto"/>
        <w:ind w:firstLine="567"/>
        <w:jc w:val="both"/>
      </w:pPr>
      <w:r>
        <w:rPr>
          <w:rFonts w:ascii="Times New Roman" w:cs="Times New Roman" w:eastAsia="Times New Roman" w:hAnsi="Times New Roman"/>
          <w:b/>
          <w:bCs/>
          <w:i w:val="false"/>
          <w:iCs w:val="false"/>
          <w:sz w:val="28"/>
          <w:szCs w:val="28"/>
        </w:rPr>
        <w:t xml:space="preserve">2. Thiếu đầu mục Giấy chứng nhận đủ điều kiện về an ninh, trật tự. </w:t>
      </w:r>
      <w:r>
        <w:rPr>
          <w:rFonts w:ascii="Times New Roman" w:cs="Times New Roman" w:eastAsia="Times New Roman" w:hAnsi="Times New Roman"/>
          <w:b w:val="false"/>
          <w:bCs w:val="false"/>
          <w:i w:val="false"/>
          <w:iCs w:val="false"/>
          <w:sz w:val="28"/>
          <w:szCs w:val="28"/>
        </w:rPr>
        <w:t xml:space="preserve">Giấy chứng nhận đủ điều kiện về an ninh, trật tự do cơ quan Công an cấp không xuất hiện trong Danh mục tại Phụ lục 02 — cần bổ sung thành đầu mục bắt buộc, vì đây là điều kiện tiên quyết khi thẩm định cấp Giấy phép sử dụng VLNCN ở bước tiếp theo.</w:t>
      </w:r>
    </w:p>
    <w:p>
      <w:pPr>
        <w:spacing w:after="120" w:before="120" w:line="240" w:lineRule="auto"/>
        <w:ind w:firstLine="567"/>
        <w:jc w:val="both"/>
      </w:pPr>
      <w:r>
        <w:rPr>
          <w:rFonts w:ascii="Times New Roman" w:cs="Times New Roman" w:eastAsia="Times New Roman" w:hAnsi="Times New Roman"/>
          <w:b/>
          <w:bCs/>
          <w:i w:val="false"/>
          <w:iCs w:val="false"/>
          <w:sz w:val="28"/>
          <w:szCs w:val="28"/>
        </w:rPr>
        <w:t xml:space="preserve">IV. TƯ CÁCH CHỦ THỂ VÀ HỒ SƠ NĂNG LỰC — ĐIỂM YẾU CẤU TRÚC</w:t>
      </w:r>
    </w:p>
    <w:p>
      <w:pPr>
        <w:spacing w:after="120" w:before="120" w:line="240" w:lineRule="auto"/>
        <w:ind w:firstLine="567"/>
        <w:jc w:val="both"/>
      </w:pPr>
      <w:r>
        <w:rPr>
          <w:rFonts w:ascii="Times New Roman" w:cs="Times New Roman" w:eastAsia="Times New Roman" w:hAnsi="Times New Roman"/>
          <w:b/>
          <w:bCs/>
          <w:i w:val="false"/>
          <w:iCs w:val="false"/>
          <w:sz w:val="28"/>
          <w:szCs w:val="28"/>
        </w:rPr>
        <w:t xml:space="preserve">1. Một pháp nhân đóng cả 3 vai. </w:t>
      </w:r>
      <w:r>
        <w:rPr>
          <w:rFonts w:ascii="Times New Roman" w:cs="Times New Roman" w:eastAsia="Times New Roman" w:hAnsi="Times New Roman"/>
          <w:b w:val="false"/>
          <w:bCs w:val="false"/>
          <w:i w:val="false"/>
          <w:iCs w:val="false"/>
          <w:sz w:val="28"/>
          <w:szCs w:val="28"/>
        </w:rPr>
        <w:t xml:space="preserve">Công ty CP Đầu tư Xây dựng Hạ tầng và Giao thông vừa là chủ đầu tư, vừa là đơn vị thi công, vừa cử người của mình (ông Nguyễn Văn Tiến) làm tư vấn giám sát. Hình thức “tự thực hiện, tự giám sát” không bị cấm, nhưng hồ sơ phải kèm chứng chỉ hành nghề giám sát của cá nhân thực hiện giám sát và văn bản giao nhiệm vụ — bộ hồ sơ không có, trong khi Phụ lục 02 mục 9 vẫn đánh dấu “Đã xuất trình”.</w:t>
      </w:r>
    </w:p>
    <w:p>
      <w:pPr>
        <w:spacing w:after="120" w:before="120" w:line="240" w:lineRule="auto"/>
        <w:ind w:firstLine="567"/>
        <w:jc w:val="both"/>
      </w:pPr>
      <w:r>
        <w:rPr>
          <w:rFonts w:ascii="Times New Roman" w:cs="Times New Roman" w:eastAsia="Times New Roman" w:hAnsi="Times New Roman"/>
          <w:b/>
          <w:bCs/>
          <w:i w:val="false"/>
          <w:iCs w:val="false"/>
          <w:sz w:val="28"/>
          <w:szCs w:val="28"/>
        </w:rPr>
        <w:t xml:space="preserve">2. Hồ sơ Chỉ huy trưởng công trường chưa đủ minh chứng năng lực. </w:t>
      </w:r>
      <w:r>
        <w:rPr>
          <w:rFonts w:ascii="Times New Roman" w:cs="Times New Roman" w:eastAsia="Times New Roman" w:hAnsi="Times New Roman"/>
          <w:b w:val="false"/>
          <w:bCs w:val="false"/>
          <w:i w:val="false"/>
          <w:iCs w:val="false"/>
          <w:sz w:val="28"/>
          <w:szCs w:val="28"/>
        </w:rPr>
        <w:t xml:space="preserve">Hồ sơ cá nhân ông Phùng Tiến Anh chỉ gồm bằng kỹ sư (cấp ngày 26/01/2022) và Căn cước công dân; không có chứng chỉ hành nghề, quyết định bổ nhiệm chỉ huy trưởng, hợp đồng lao động. Với người tốt nghiệp mới hơn 4 năm, điều kiện năng lực chỉ huy trưởng phải được chứng minh theo Nghị định số 175/2024/NĐ-CP, không thể chỉ bằng văn bằng.</w:t>
      </w:r>
    </w:p>
    <w:p>
      <w:pPr>
        <w:spacing w:after="120" w:before="120" w:line="240" w:lineRule="auto"/>
        <w:ind w:firstLine="567"/>
        <w:jc w:val="both"/>
      </w:pPr>
      <w:r>
        <w:rPr>
          <w:rFonts w:ascii="Times New Roman" w:cs="Times New Roman" w:eastAsia="Times New Roman" w:hAnsi="Times New Roman"/>
          <w:b/>
          <w:bCs/>
          <w:i w:val="false"/>
          <w:iCs w:val="false"/>
          <w:sz w:val="28"/>
          <w:szCs w:val="28"/>
        </w:rPr>
        <w:t xml:space="preserve">3. Giấy ủy quyền đã quá lâu. </w:t>
      </w:r>
      <w:r>
        <w:rPr>
          <w:rFonts w:ascii="Times New Roman" w:cs="Times New Roman" w:eastAsia="Times New Roman" w:hAnsi="Times New Roman"/>
          <w:b w:val="false"/>
          <w:bCs w:val="false"/>
          <w:i w:val="false"/>
          <w:iCs w:val="false"/>
          <w:sz w:val="28"/>
          <w:szCs w:val="28"/>
        </w:rPr>
        <w:t xml:space="preserve">Giấy ủy quyền số 39/UQ-CT ngày 03/3/2020 của Tổng Giám đốc cho ông Lê Đức Hùng ký hàng loạt văn bản năm 2026 — ủy quyền đã hơn 6 năm; cần yêu cầu bản ủy quyền còn hiệu lực, ghi rõ phạm vi và thời hạn.</w:t>
      </w:r>
    </w:p>
    <w:p>
      <w:pPr>
        <w:spacing w:after="120" w:before="120" w:line="240" w:lineRule="auto"/>
        <w:ind w:firstLine="567"/>
        <w:jc w:val="both"/>
      </w:pPr>
      <w:r>
        <w:rPr>
          <w:rFonts w:ascii="Times New Roman" w:cs="Times New Roman" w:eastAsia="Times New Roman" w:hAnsi="Times New Roman"/>
          <w:b/>
          <w:bCs/>
          <w:i w:val="false"/>
          <w:iCs w:val="false"/>
          <w:sz w:val="28"/>
          <w:szCs w:val="28"/>
        </w:rPr>
        <w:t xml:space="preserve">V. LỖI “KHUÔN MẪU” — DẤU HIỆU HỒ SƠ SAO CHÉP TỪ VỤ VIỆC KHÁC</w:t>
      </w:r>
    </w:p>
    <w:p>
      <w:pPr>
        <w:spacing w:after="120" w:before="120" w:line="240" w:lineRule="auto"/>
        <w:ind w:firstLine="567"/>
        <w:jc w:val="both"/>
      </w:pPr>
      <w:r>
        <w:rPr>
          <w:rFonts w:ascii="Times New Roman" w:cs="Times New Roman" w:eastAsia="Times New Roman" w:hAnsi="Times New Roman"/>
          <w:b w:val="false"/>
          <w:bCs w:val="false"/>
          <w:i w:val="false"/>
          <w:iCs w:val="false"/>
          <w:sz w:val="28"/>
          <w:szCs w:val="28"/>
        </w:rPr>
        <w:t xml:space="preserve">Nhóm lỗi này ít nghiêm trọng về nội dung nhưng nghiêm trọng về giá trị pháp lý của bộ hồ sơ mẫu, vì thể hiện việc lập hồ sơ không được rà soát chéo:</w:t>
      </w:r>
    </w:p>
    <w:p>
      <w:pPr>
        <w:spacing w:after="120" w:before="120" w:line="240" w:lineRule="auto"/>
        <w:ind w:firstLine="567"/>
        <w:jc w:val="both"/>
      </w:pPr>
      <w:r>
        <w:rPr>
          <w:rFonts w:ascii="Times New Roman" w:cs="Times New Roman" w:eastAsia="Times New Roman" w:hAnsi="Times New Roman"/>
          <w:b w:val="false"/>
          <w:bCs w:val="false"/>
          <w:i w:val="false"/>
          <w:iCs w:val="false"/>
          <w:sz w:val="28"/>
          <w:szCs w:val="28"/>
        </w:rPr>
        <w:t xml:space="preserve">1. Biên bản kiểm tra ngày 18/6/2026, mục VI đột ngột giao trách nhiệm dỡ bỏ kho cho “Công ty CP năng lượng Bảo Long” — một pháp nhân không hề có trong vụ việc (nội dung sót lại từ hồ sơ khác); Phụ lục 01 lại ghi đúng tên Chủ đầu tư.</w:t>
      </w:r>
    </w:p>
    <w:p>
      <w:pPr>
        <w:spacing w:after="120" w:before="120" w:line="240" w:lineRule="auto"/>
        <w:ind w:firstLine="567"/>
        <w:jc w:val="both"/>
      </w:pPr>
      <w:r>
        <w:rPr>
          <w:rFonts w:ascii="Times New Roman" w:cs="Times New Roman" w:eastAsia="Times New Roman" w:hAnsi="Times New Roman"/>
          <w:b w:val="false"/>
          <w:bCs w:val="false"/>
          <w:i w:val="false"/>
          <w:iCs w:val="false"/>
          <w:sz w:val="28"/>
          <w:szCs w:val="28"/>
        </w:rPr>
        <w:t xml:space="preserve">2. Phụ lục 03 ghi “kèm theo biên bản kiểm tra ngày 29/05/2026” trong khi biên bản lập ngày 18/06/2026; Phụ lục 02 mục I.5 nhắc “Biên bản kiểm tra về PCCC ngày 16/06/2026” trong khi biên bản của Công an đề ngày 09/06/2026.</w:t>
      </w:r>
    </w:p>
    <w:p>
      <w:pPr>
        <w:spacing w:after="120" w:before="120" w:line="240" w:lineRule="auto"/>
        <w:ind w:firstLine="567"/>
        <w:jc w:val="both"/>
      </w:pPr>
      <w:r>
        <w:rPr>
          <w:rFonts w:ascii="Times New Roman" w:cs="Times New Roman" w:eastAsia="Times New Roman" w:hAnsi="Times New Roman"/>
          <w:b w:val="false"/>
          <w:bCs w:val="false"/>
          <w:i w:val="false"/>
          <w:iCs w:val="false"/>
          <w:sz w:val="28"/>
          <w:szCs w:val="28"/>
        </w:rPr>
        <w:t xml:space="preserve">3. Kết quả đo điện trở tiếp địa số 67/2026/KQĐTĐ ngày 13/6/2026 ghi đơn vị yêu cầu kiểm tra là “Công ty CP đầu tư phát triển đô thị và khu công nghiệp” — sai tên Chủ đầu tư, ảnh hưởng trực tiếp giá trị pháp lý của phiếu kết quả.</w:t>
      </w:r>
    </w:p>
    <w:p>
      <w:pPr>
        <w:spacing w:after="120" w:before="120" w:line="240" w:lineRule="auto"/>
        <w:ind w:firstLine="567"/>
        <w:jc w:val="both"/>
      </w:pPr>
      <w:r>
        <w:rPr>
          <w:rFonts w:ascii="Times New Roman" w:cs="Times New Roman" w:eastAsia="Times New Roman" w:hAnsi="Times New Roman"/>
          <w:b w:val="false"/>
          <w:bCs w:val="false"/>
          <w:i w:val="false"/>
          <w:iCs w:val="false"/>
          <w:sz w:val="28"/>
          <w:szCs w:val="28"/>
        </w:rPr>
        <w:t xml:space="preserve">4. Khung tên các bản vẽ hạng mục Nhà bảo vệ (hồ sơ thiết kế bản vẽ thi công) ghi “xã Văn Bản” thay vì xã Chiềng Ken.</w:t>
      </w:r>
    </w:p>
    <w:p>
      <w:pPr>
        <w:spacing w:after="120" w:before="120" w:line="240" w:lineRule="auto"/>
        <w:ind w:firstLine="567"/>
        <w:jc w:val="both"/>
      </w:pPr>
      <w:r>
        <w:rPr>
          <w:rFonts w:ascii="Times New Roman" w:cs="Times New Roman" w:eastAsia="Times New Roman" w:hAnsi="Times New Roman"/>
          <w:b w:val="false"/>
          <w:bCs w:val="false"/>
          <w:i w:val="false"/>
          <w:iCs w:val="false"/>
          <w:sz w:val="28"/>
          <w:szCs w:val="28"/>
        </w:rPr>
        <w:t xml:space="preserve">5. Bản vẽ hoàn công hạng mục hàng rào khác thiết kế được duyệt (trụ thép ống D42 đóng trực tiếp vào đất thay trụ V70x70 có móng bê tông; 04 hàng dây thép gai thay 05 hàng) nhưng Phụ lục 02 mục III.1 lại khai “không thay đổi thiết kế trong quá trình thi công”; Biên bản của Công an ghi hàng rào cách kho “trên 4m” trong khi thiết kế duyệt yêu cầu ≥ 8,0 m; trang bị chữa cháy thực tế (04 bình MFZ8) khác thiết kế (04 bình MFZ4 và 07 bình CO2). Ba mâu thuẫn này Đoàn kiểm tra chưa xử lý bằng cơ chế nào trong biên bản.</w:t>
      </w:r>
    </w:p>
    <w:p>
      <w:pPr>
        <w:spacing w:after="120" w:before="120" w:line="240" w:lineRule="auto"/>
        <w:ind w:firstLine="567"/>
        <w:jc w:val="both"/>
      </w:pPr>
      <w:r>
        <w:rPr>
          <w:rFonts w:ascii="Times New Roman" w:cs="Times New Roman" w:eastAsia="Times New Roman" w:hAnsi="Times New Roman"/>
          <w:b w:val="false"/>
          <w:bCs w:val="false"/>
          <w:i w:val="false"/>
          <w:iCs w:val="false"/>
          <w:sz w:val="28"/>
          <w:szCs w:val="28"/>
        </w:rPr>
        <w:t xml:space="preserve">6. Căn cứ pháp lý còn viện dẫn văn bản hết hiệu lực/trùng lặp: Thuyết minh thiết kế và Quyết định số 89/2026/QĐ-CT ngày 08/5/2026 dẫn đồng thời Nghị định số 71/2018/NĐ-CP (đã được thay thế bởi Nghị định số 181/2024/NĐ-CP hướng dẫn Luật số 42/2024/QH15) và Thông tư số 32/2019/TT-BCT — cần rà soát, thống nhất chỉ dẫn chiếu văn bản đang có hiệu lực.</w:t>
      </w:r>
    </w:p>
    <w:p>
      <w:pPr>
        <w:spacing w:after="120" w:before="120" w:line="240" w:lineRule="auto"/>
        <w:ind w:firstLine="567"/>
        <w:jc w:val="both"/>
      </w:pPr>
      <w:r>
        <w:rPr>
          <w:rFonts w:ascii="Times New Roman" w:cs="Times New Roman" w:eastAsia="Times New Roman" w:hAnsi="Times New Roman"/>
          <w:b/>
          <w:bCs/>
          <w:i w:val="false"/>
          <w:iCs w:val="false"/>
          <w:sz w:val="28"/>
          <w:szCs w:val="28"/>
        </w:rPr>
        <w:t xml:space="preserve">VI. ĐỀ XUẤT BÁO CÁO GIÁM ĐỐC SỞ</w:t>
      </w:r>
    </w:p>
    <w:p>
      <w:pPr>
        <w:spacing w:after="120" w:before="120" w:line="240" w:lineRule="auto"/>
        <w:ind w:firstLine="567"/>
        <w:jc w:val="both"/>
      </w:pPr>
      <w:r>
        <w:rPr>
          <w:rFonts w:ascii="Times New Roman" w:cs="Times New Roman" w:eastAsia="Times New Roman" w:hAnsi="Times New Roman"/>
          <w:b w:val="false"/>
          <w:bCs w:val="false"/>
          <w:i w:val="false"/>
          <w:iCs w:val="false"/>
          <w:sz w:val="28"/>
          <w:szCs w:val="28"/>
        </w:rPr>
        <w:t xml:space="preserve">(Nội dung có thể dùng làm khung Phiếu trình; lĩnh vực VLNCN trình qua Phó Giám đốc phụ trách trước khi báo cáo Giám đốc)</w:t>
      </w:r>
    </w:p>
    <w:p>
      <w:pPr>
        <w:spacing w:after="120" w:before="120" w:line="240" w:lineRule="auto"/>
        <w:ind w:firstLine="567"/>
        <w:jc w:val="both"/>
      </w:pPr>
      <w:r>
        <w:rPr>
          <w:rFonts w:ascii="Times New Roman" w:cs="Times New Roman" w:eastAsia="Times New Roman" w:hAnsi="Times New Roman"/>
          <w:b/>
          <w:bCs/>
          <w:i w:val="false"/>
          <w:iCs w:val="false"/>
          <w:sz w:val="28"/>
          <w:szCs w:val="28"/>
        </w:rPr>
        <w:t xml:space="preserve">1. Đối với hồ sơ này: </w:t>
      </w:r>
      <w:r>
        <w:rPr>
          <w:rFonts w:ascii="Times New Roman" w:cs="Times New Roman" w:eastAsia="Times New Roman" w:hAnsi="Times New Roman"/>
          <w:b w:val="false"/>
          <w:bCs w:val="false"/>
          <w:i w:val="false"/>
          <w:iCs w:val="false"/>
          <w:sz w:val="28"/>
          <w:szCs w:val="28"/>
        </w:rPr>
        <w:t xml:space="preserve">chưa ban hành văn bản thông báo chấp thuận kết quả kiểm tra công tác nghiệm thu; ban hành công văn yêu cầu Chủ đầu tư khắc phục, bổ sung (theo mẫu công văn yêu cầu hoàn thiện đã có tiền lệ tại Sở): giải trình khung pháp lý công trình (công trình tạm/cấp công trình); bổ sung minh chứng gửi thiết kế cho Sở theo Điều 131 Luật Xây dựng; văn bản PCCC phù hợp của cơ quan Công an; Giấy chứng nhận đủ điều kiện về an ninh, trật tự; hồ sơ năng lực tư vấn giám sát và chỉ huy trưởng; đính chính toàn bộ lỗi tên pháp nhân, ngày tháng, địa danh; lập hồ sơ điều chỉnh cho phần thi công khác thiết kế (hàng rào, phương tiện chữa cháy, khoảng cách hàng rào). Chỉ chấp thuận sau khi khắc phục; nhắc rõ Chủ đầu tư không được đưa kho vào sử dụng, không nhập VLNCN trước khi có văn bản chấp thuận kết quả nghiệm thu và Giấy phép sử dụng VLNCN.</w:t>
      </w:r>
    </w:p>
    <w:p>
      <w:pPr>
        <w:spacing w:after="120" w:before="120" w:line="240" w:lineRule="auto"/>
        <w:ind w:firstLine="567"/>
        <w:jc w:val="both"/>
      </w:pPr>
      <w:r>
        <w:rPr>
          <w:rFonts w:ascii="Times New Roman" w:cs="Times New Roman" w:eastAsia="Times New Roman" w:hAnsi="Times New Roman"/>
          <w:b/>
          <w:bCs/>
          <w:i w:val="false"/>
          <w:iCs w:val="false"/>
          <w:sz w:val="28"/>
          <w:szCs w:val="28"/>
        </w:rPr>
        <w:t xml:space="preserve">2. Ban hành Quy trình nội bộ và bộ danh mục kiểm tra (checklist) chuẩn </w:t>
      </w:r>
      <w:r>
        <w:rPr>
          <w:rFonts w:ascii="Times New Roman" w:cs="Times New Roman" w:eastAsia="Times New Roman" w:hAnsi="Times New Roman"/>
          <w:b w:val="false"/>
          <w:bCs w:val="false"/>
          <w:i w:val="false"/>
          <w:iCs w:val="false"/>
          <w:sz w:val="28"/>
          <w:szCs w:val="28"/>
        </w:rPr>
        <w:t xml:space="preserve">cho nhóm “kho VLNCN tạm phục vụ thi công” (loại việc lặp lại nhiều trên địa bàn), với chuỗi bắt buộc: thẩm tra thiết kế → gửi Sở theo dõi (Điều 131 Luật Xây dựng) → thông báo khởi công → thông báo trước nghiệm thu tối thiểu 10 ngày → Sở kiểm tra → Thông báo kết quả → mới bàn giao đưa vào sử dụng; kèm danh mục theo Phụ lục VIb Nghị định số 06/2021/NĐ-CP được tùy biến (bổ sung Giấy chứng nhận an ninh trật tự, văn bản PCCC của cơ quan Công an, hồ sơ năng lực cá nhân, văn bản xác định công trình tạm kèm cam kết thời hạn tồn tại và tháo dỡ).</w:t>
      </w:r>
    </w:p>
    <w:p>
      <w:pPr>
        <w:spacing w:after="120" w:before="120" w:line="240" w:lineRule="auto"/>
        <w:ind w:firstLine="567"/>
        <w:jc w:val="both"/>
      </w:pPr>
      <w:r>
        <w:rPr>
          <w:rFonts w:ascii="Times New Roman" w:cs="Times New Roman" w:eastAsia="Times New Roman" w:hAnsi="Times New Roman"/>
          <w:b/>
          <w:bCs/>
          <w:i w:val="false"/>
          <w:iCs w:val="false"/>
          <w:sz w:val="28"/>
          <w:szCs w:val="28"/>
        </w:rPr>
        <w:t xml:space="preserve">3. Chuẩn hóa mẫu Biên bản kiểm tra và Thông báo kết quả của Sở: </w:t>
      </w:r>
      <w:r>
        <w:rPr>
          <w:rFonts w:ascii="Times New Roman" w:cs="Times New Roman" w:eastAsia="Times New Roman" w:hAnsi="Times New Roman"/>
          <w:b w:val="false"/>
          <w:bCs w:val="false"/>
          <w:i w:val="false"/>
          <w:iCs w:val="false"/>
          <w:sz w:val="28"/>
          <w:szCs w:val="28"/>
        </w:rPr>
        <w:t xml:space="preserve">loại bỏ các đoạn khẳng định vượt quá hồ sơ thực tế (ví dụ “đã được Sở thẩm định...”); bổ sung bảng đối chiếu chéo bắt buộc giữa 3 nguồn (thiết kế được duyệt — bản vẽ hoàn công — biên bản của cơ quan Công an) để chặn các mâu thuẫn kiểu khoảng cách hàng rào 4m/8m nêu trên.</w:t>
      </w:r>
    </w:p>
    <w:p>
      <w:pPr>
        <w:spacing w:after="120" w:before="120" w:line="240" w:lineRule="auto"/>
        <w:ind w:firstLine="567"/>
        <w:jc w:val="both"/>
      </w:pPr>
      <w:r>
        <w:rPr>
          <w:rFonts w:ascii="Times New Roman" w:cs="Times New Roman" w:eastAsia="Times New Roman" w:hAnsi="Times New Roman"/>
          <w:b/>
          <w:bCs/>
          <w:i w:val="false"/>
          <w:iCs w:val="false"/>
          <w:sz w:val="28"/>
          <w:szCs w:val="28"/>
        </w:rPr>
        <w:t xml:space="preserve">4. Yêu cầu rà soát hiệu lực căn cứ pháp lý </w:t>
      </w:r>
      <w:r>
        <w:rPr>
          <w:rFonts w:ascii="Times New Roman" w:cs="Times New Roman" w:eastAsia="Times New Roman" w:hAnsi="Times New Roman"/>
          <w:b w:val="false"/>
          <w:bCs w:val="false"/>
          <w:i w:val="false"/>
          <w:iCs w:val="false"/>
          <w:sz w:val="28"/>
          <w:szCs w:val="28"/>
        </w:rPr>
        <w:t xml:space="preserve">trong mọi hồ sơ VLNCN tiếp nhận từ nay (Luật số 42/2024/QH15, Nghị định số 181/2024/NĐ-CP, Thông tư số 23/2024/TT-BCT; loại bỏ Nghị định số 71/2018/NĐ-CP).</w:t>
      </w:r>
    </w:p>
    <w:p>
      <w:pPr>
        <w:spacing w:after="120" w:before="120" w:line="240" w:lineRule="auto"/>
        <w:ind w:firstLine="567"/>
        <w:jc w:val="both"/>
      </w:pPr>
      <w:r>
        <w:rPr>
          <w:rFonts w:ascii="Times New Roman" w:cs="Times New Roman" w:eastAsia="Times New Roman" w:hAnsi="Times New Roman"/>
          <w:b/>
          <w:bCs/>
          <w:i w:val="false"/>
          <w:iCs w:val="false"/>
          <w:sz w:val="28"/>
          <w:szCs w:val="28"/>
        </w:rPr>
        <w:t xml:space="preserve">5. Kiến nghị chấn chỉnh chung </w:t>
      </w:r>
      <w:r>
        <w:rPr>
          <w:rFonts w:ascii="Times New Roman" w:cs="Times New Roman" w:eastAsia="Times New Roman" w:hAnsi="Times New Roman"/>
          <w:b w:val="false"/>
          <w:bCs w:val="false"/>
          <w:i w:val="false"/>
          <w:iCs w:val="false"/>
          <w:sz w:val="28"/>
          <w:szCs w:val="28"/>
        </w:rPr>
        <w:t xml:space="preserve">bằng công văn gửi các chủ đầu tư thủy điện, khai khoáng đang có kho VLNCN tạm trên địa bàn: nhắc lại trình tự tại Điều 131 Luật Xây dựng và Điều 23 Nghị định số 06/2021/NĐ-CP, tránh tình trạng “nghiệm thu xong mới mời Sở”./.</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2026-07-04T07:52:46.369Z</dcterms:created>
  <dcterms:modified xsi:type="dcterms:W3CDTF">2026-07-04T07:52:46.382Z</dcterms:modified>
</cp:coreProperties>
</file>

<file path=docProps/custom.xml><?xml version="1.0" encoding="utf-8"?>
<Properties xmlns="http://schemas.openxmlformats.org/officeDocument/2006/custom-properties" xmlns:vt="http://schemas.openxmlformats.org/officeDocument/2006/docPropsVTypes"/>
</file>