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1582" w:rsidRDefault="006B1582" w:rsidP="006B1582">
      <w:pPr>
        <w:shd w:val="clear" w:color="auto" w:fill="FFFFFF"/>
        <w:spacing w:after="120"/>
        <w:ind w:firstLine="720"/>
        <w:jc w:val="both"/>
        <w:rPr>
          <w:rFonts w:eastAsia="Times New Roman" w:cs="Times New Roman"/>
          <w:szCs w:val="28"/>
        </w:rPr>
      </w:pPr>
      <w:bookmarkStart w:id="0" w:name="_GoBack"/>
      <w:r>
        <w:rPr>
          <w:rFonts w:eastAsia="Times New Roman" w:cs="Times New Roman"/>
          <w:szCs w:val="28"/>
        </w:rPr>
        <w:t>- T</w:t>
      </w:r>
      <w:r w:rsidRPr="006B1582">
        <w:rPr>
          <w:rFonts w:eastAsia="Times New Roman" w:cs="Times New Roman"/>
          <w:szCs w:val="28"/>
        </w:rPr>
        <w:t xml:space="preserve">rong quá trình sử dụng VLNCN, trình độ, kinh nghiệm cán bộ phụ trách, chỉ huy nổ mìn nhiều đơn vị còn hạn chế, một số đơn vị chưa chấp hành nghiêm túc về chế độ báo cáo định kỳ. Một số nơi còn chưa làm tốt công tác tuyên truyền, phổ biến, để nhân dân kiến nghị, phản ánh. </w:t>
      </w:r>
    </w:p>
    <w:p w:rsidR="006B1582" w:rsidRDefault="006B1582" w:rsidP="006B1582">
      <w:pPr>
        <w:shd w:val="clear" w:color="auto" w:fill="FFFFFF"/>
        <w:spacing w:after="120"/>
        <w:ind w:firstLine="720"/>
        <w:jc w:val="both"/>
        <w:rPr>
          <w:rFonts w:eastAsia="Times New Roman" w:cs="Times New Roman"/>
          <w:szCs w:val="28"/>
        </w:rPr>
      </w:pPr>
      <w:r>
        <w:rPr>
          <w:rFonts w:eastAsia="Times New Roman" w:cs="Times New Roman"/>
          <w:szCs w:val="28"/>
        </w:rPr>
        <w:t>- Nội dung</w:t>
      </w:r>
      <w:r w:rsidRPr="006B1582">
        <w:rPr>
          <w:rFonts w:eastAsia="Times New Roman" w:cs="Times New Roman"/>
          <w:szCs w:val="28"/>
        </w:rPr>
        <w:t xml:space="preserve"> quy định tại điểm a, khoản 1, Điều 43, Luật Quản lý, sử dụng vũ khí, vật liệu nổ và công cụ hỗ trợ năm 2017: “Dịch vụ nổ mìn là việc thực hiện hợp đồng nổ mìn giữa tổ chức, doanh nghiệp hoạt động dịch vụ nổ mìn với tổ chức, cá nhân có nhu cầu theo quy định của Luật này”. Tuy nhiên, trong Luật Quản lý, sử dụng vũ khí, vật liệu nổ và công cụ hỗ trợ năm 2017 chưa có điều khoản quy định cụ thể về “tổ chức, cá nhân có nhu cầu” nêu trên. Do đó, các tổ chức, cá nhân cần phá đá nổ mìn nhưng không đủ điều kiện điều kiện được cấp Giấy phép sử dụng VLNCN thì cũng không thể ký hợp đồng thuê đơn vị dịch vụ nổ mìn để thi công công trình</w:t>
      </w:r>
      <w:r>
        <w:rPr>
          <w:rFonts w:eastAsia="Times New Roman" w:cs="Times New Roman"/>
          <w:szCs w:val="28"/>
        </w:rPr>
        <w:t xml:space="preserve">, </w:t>
      </w:r>
      <w:r w:rsidRPr="006B1582">
        <w:rPr>
          <w:rFonts w:eastAsia="Times New Roman" w:cs="Times New Roman"/>
          <w:szCs w:val="28"/>
        </w:rPr>
        <w:t>khó khăn cho các doanh nghiệp và cơ quan quản lý địa phương...</w:t>
      </w:r>
    </w:p>
    <w:bookmarkEnd w:id="0"/>
    <w:p w:rsidR="00411945" w:rsidRPr="006B1582" w:rsidRDefault="00411945" w:rsidP="006B1582">
      <w:pPr>
        <w:shd w:val="clear" w:color="auto" w:fill="FFFFFF"/>
        <w:spacing w:after="120"/>
        <w:ind w:firstLine="720"/>
        <w:jc w:val="both"/>
        <w:rPr>
          <w:rFonts w:eastAsia="Times New Roman" w:cs="Times New Roman"/>
          <w:szCs w:val="28"/>
        </w:rPr>
      </w:pPr>
    </w:p>
    <w:sectPr w:rsidR="00411945" w:rsidRPr="006B1582" w:rsidSect="00507D78">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582"/>
    <w:rsid w:val="0015130E"/>
    <w:rsid w:val="00411945"/>
    <w:rsid w:val="00507D78"/>
    <w:rsid w:val="006B1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9F75"/>
  <w15:chartTrackingRefBased/>
  <w15:docId w15:val="{71618B28-0A91-497D-8143-F743B1041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5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2023-10-12T03:22:00Z</dcterms:created>
  <dcterms:modified xsi:type="dcterms:W3CDTF">2023-10-12T09:41:00Z</dcterms:modified>
</cp:coreProperties>
</file>