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120"/>
        <w:jc w:val="center"/>
      </w:pPr>
      <w:r>
        <w:rPr>
          <w:rFonts w:ascii="Times New Roman" w:hAnsi="Times New Roman" w:cs="Times New Roman"/>
          <w:b/>
          <w:i w:val="0"/>
          <w:sz w:val="30"/>
        </w:rPr>
        <w:t>BÀI PHÁT BIỂU</w:t>
      </w:r>
    </w:p>
    <w:p>
      <w:pPr>
        <w:spacing w:line="240" w:lineRule="auto" w:before="120" w:after="120"/>
        <w:jc w:val="center"/>
      </w:pPr>
      <w:r>
        <w:rPr>
          <w:rFonts w:ascii="Times New Roman" w:hAnsi="Times New Roman" w:cs="Times New Roman"/>
          <w:b/>
          <w:i w:val="0"/>
          <w:sz w:val="30"/>
        </w:rPr>
        <w:t>của Trưởng phòng Quản lý Công nghiệp về kết quả công tác 9 tháng đầu năm và nhiệm vụ trọng tâm 3 tháng cuối năm 2026</w:t>
      </w:r>
    </w:p>
    <w:p>
      <w:pPr>
        <w:spacing w:line="240" w:lineRule="auto" w:before="120" w:after="120"/>
      </w:pPr>
    </w:p>
    <w:p>
      <w:pPr>
        <w:spacing w:line="240" w:lineRule="auto" w:before="120" w:after="120"/>
        <w:ind w:firstLine="720"/>
        <w:jc w:val="both"/>
      </w:pPr>
      <w:r>
        <w:rPr>
          <w:rFonts w:ascii="Times New Roman" w:hAnsi="Times New Roman" w:cs="Times New Roman"/>
          <w:b/>
          <w:i w:val="0"/>
          <w:sz w:val="30"/>
        </w:rPr>
        <w:t>Kính thưa:</w:t>
      </w:r>
    </w:p>
    <w:p>
      <w:pPr>
        <w:spacing w:line="240" w:lineRule="auto" w:before="120" w:after="120"/>
        <w:ind w:left="720"/>
        <w:jc w:val="both"/>
      </w:pPr>
      <w:r>
        <w:rPr>
          <w:rFonts w:ascii="Times New Roman" w:hAnsi="Times New Roman" w:cs="Times New Roman"/>
          <w:b w:val="0"/>
          <w:i/>
          <w:sz w:val="30"/>
        </w:rPr>
        <w:t>Đồng chí Giám đốc Sở chủ trì hội nghị,</w:t>
      </w:r>
    </w:p>
    <w:p>
      <w:pPr>
        <w:spacing w:line="240" w:lineRule="auto" w:before="120" w:after="120"/>
        <w:ind w:left="720"/>
        <w:jc w:val="both"/>
      </w:pPr>
      <w:r>
        <w:rPr>
          <w:rFonts w:ascii="Times New Roman" w:hAnsi="Times New Roman" w:cs="Times New Roman"/>
          <w:b w:val="0"/>
          <w:i/>
          <w:sz w:val="30"/>
        </w:rPr>
        <w:t>Các đồng chí Phó Giám đốc Sở,</w:t>
      </w:r>
    </w:p>
    <w:p>
      <w:pPr>
        <w:spacing w:line="240" w:lineRule="auto" w:before="120" w:after="120"/>
        <w:ind w:left="720"/>
        <w:jc w:val="both"/>
      </w:pPr>
      <w:r>
        <w:rPr>
          <w:rFonts w:ascii="Times New Roman" w:hAnsi="Times New Roman" w:cs="Times New Roman"/>
          <w:b w:val="0"/>
          <w:i/>
          <w:sz w:val="30"/>
        </w:rPr>
        <w:t>Thưa toàn thể các đồng chí!</w:t>
      </w:r>
    </w:p>
    <w:p>
      <w:pPr>
        <w:spacing w:line="240" w:lineRule="auto" w:before="120" w:after="120"/>
        <w:ind w:firstLine="720"/>
        <w:jc w:val="both"/>
      </w:pPr>
      <w:r>
        <w:rPr>
          <w:rFonts w:ascii="Times New Roman" w:hAnsi="Times New Roman" w:cs="Times New Roman"/>
          <w:b w:val="0"/>
          <w:i w:val="0"/>
          <w:sz w:val="30"/>
        </w:rPr>
        <w:t>Thay mặt Phòng Quản lý Công nghiệp, tôi xin báo cáo với hội nghị ba nội dung: kết quả nổi bật 9 tháng đầu năm 2026; những khó khăn, vướng mắc đang đặt ra; nhiệm vụ trọng tâm 3 tháng cuối năm và một số đề xuất với Lãnh đạo Sở.</w:t>
      </w:r>
    </w:p>
    <w:p>
      <w:pPr>
        <w:spacing w:line="240" w:lineRule="auto" w:before="120" w:after="120"/>
        <w:jc w:val="both"/>
      </w:pPr>
      <w:r>
        <w:rPr>
          <w:rFonts w:ascii="Times New Roman" w:hAnsi="Times New Roman" w:cs="Times New Roman"/>
          <w:b/>
          <w:i/>
          <w:sz w:val="30"/>
        </w:rPr>
        <w:t>Kính thưa các đồng chí!</w:t>
      </w:r>
    </w:p>
    <w:p>
      <w:pPr>
        <w:spacing w:line="240" w:lineRule="auto" w:before="120" w:after="120"/>
        <w:ind w:firstLine="720"/>
        <w:jc w:val="both"/>
      </w:pPr>
      <w:r>
        <w:rPr>
          <w:rFonts w:ascii="Times New Roman" w:hAnsi="Times New Roman" w:cs="Times New Roman"/>
          <w:b/>
          <w:i w:val="0"/>
          <w:sz w:val="30"/>
        </w:rPr>
        <w:t>1. Về kết quả công tác 9 tháng đầu năm 2026</w:t>
      </w:r>
    </w:p>
    <w:p>
      <w:pPr>
        <w:spacing w:line="240" w:lineRule="auto" w:before="120" w:after="120"/>
        <w:ind w:firstLine="720"/>
        <w:jc w:val="both"/>
      </w:pPr>
      <w:r>
        <w:rPr>
          <w:rFonts w:ascii="Times New Roman" w:hAnsi="Times New Roman" w:cs="Times New Roman"/>
          <w:b w:val="0"/>
          <w:i w:val="0"/>
          <w:sz w:val="30"/>
        </w:rPr>
        <w:t>Trong 9 tháng, Phòng đã tham mưu Lãnh đạo Sở ban hành 1.383 văn bản, gồm 898 công văn, 188 quyết định, 71 báo cáo, 69 tờ trình, 41 giấy chứng nhận, 35 giấy phép và các loại văn bản khác; hồ sơ thủ tục hành chính thuộc lĩnh vực của Phòng đều được giải quyết đúng hạn, không có hồ sơ quá hạn. Kết quả theo từng lĩnh vực như sau:</w:t>
      </w:r>
    </w:p>
    <w:p>
      <w:pPr>
        <w:spacing w:line="240" w:lineRule="auto" w:before="120" w:after="120"/>
        <w:ind w:firstLine="720"/>
        <w:jc w:val="both"/>
      </w:pPr>
      <w:r>
        <w:rPr>
          <w:rFonts w:ascii="Times New Roman" w:hAnsi="Times New Roman" w:cs="Times New Roman"/>
          <w:b/>
          <w:i w:val="0"/>
          <w:sz w:val="30"/>
        </w:rPr>
        <w:t>Trước hết, về khu công nghiệp, cụm công nghiệp</w:t>
      </w:r>
      <w:r>
        <w:rPr>
          <w:rFonts w:ascii="Times New Roman" w:hAnsi="Times New Roman" w:cs="Times New Roman"/>
          <w:b w:val="0"/>
          <w:i w:val="0"/>
          <w:sz w:val="30"/>
        </w:rPr>
        <w:t xml:space="preserve"> - lĩnh vực được Tỉnh ủy, UBND tỉnh chỉ đạo tập trung theo Nghị quyết số 34-NQ/TU. Phòng đã tham mưu ban hành Quy chế quản lý cụm công nghiệp trên địa bàn tỉnh; đề nghị thành lập Cụm công nghiệp Bảo Minh; trình UBND tỉnh thành lập Cụm công nghiệp Yên Hợp 2; trình ban hành Quy định tiêu chí lựa chọn chủ đầu tư ba cụm công nghiệp Yên Hợp 2, Tân Nguyên, Mông Sơn; tổ chức quy trình lựa chọn chủ đầu tư và trình thành lập Hội đồng đánh giá đối với sáu cụm công nghiệp Yên Hợp 2, Mông Sơn, Tân Nguyên, Châu Quế, Phú Thịnh 6, Xuân Ái. Cụm công nghiệp Phú Thịnh 3 đã khởi công ngày 16/7/2026 với quy mô 75 ha, tổng mức đầu tư 550,36 tỷ đồng, ba nhà đầu tư thứ cấp đã đăng ký khoảng 35 ha. Hai Khu công nghiệp Phú Xuân và Phú Xuân 1 tại xã Gia Phú đã khởi công dịp Quốc khánh 2/9.</w:t>
      </w:r>
    </w:p>
    <w:p>
      <w:pPr>
        <w:spacing w:line="240" w:lineRule="auto" w:before="120" w:after="120"/>
        <w:ind w:firstLine="720"/>
        <w:jc w:val="both"/>
      </w:pPr>
      <w:r>
        <w:rPr>
          <w:rFonts w:ascii="Times New Roman" w:hAnsi="Times New Roman" w:cs="Times New Roman"/>
          <w:b/>
          <w:i w:val="0"/>
          <w:sz w:val="30"/>
        </w:rPr>
        <w:t>Thứ hai, về vật liệu nổ công nghiệp:</w:t>
      </w:r>
      <w:r>
        <w:rPr>
          <w:rFonts w:ascii="Times New Roman" w:hAnsi="Times New Roman" w:cs="Times New Roman"/>
          <w:b w:val="0"/>
          <w:i w:val="0"/>
          <w:sz w:val="30"/>
        </w:rPr>
        <w:t xml:space="preserve"> 9 tháng đã thẩm định, tham mưu cấp 26 Giấy phép sử dụng vật liệu nổ công nghiệp, trong đó 18 giấy phép do UBND tỉnh cấp và 08 giấy phép do Giám đốc Sở cấp theo ủy quyền tại Quyết định số 2867/QĐ-UBND ngày 17/8/2026; hiện có 32 giấy phép còn hiệu lực. Đã kiểm tra nghiệm thu bốn kho vật liệu nổ công nghiệp tại các dự án Ngòi Nhù 1A, Hỏm Dưới, Háng Chua Xay và gói thầu SFD-XL03; hoàn thành kiểm tra, xác minh hộ chiếu nổ mìn của Công ty Công nghiệp Hóa chất mỏ Tây Bắc theo Kết luận thanh tra số 48/KL-TT và báo cáo UBND tỉnh tại Báo cáo số 5220/BC-SCT ngày 24/8/2026.</w:t>
      </w:r>
    </w:p>
    <w:p>
      <w:pPr>
        <w:spacing w:line="240" w:lineRule="auto" w:before="120" w:after="120"/>
        <w:ind w:firstLine="720"/>
        <w:jc w:val="both"/>
      </w:pPr>
      <w:r>
        <w:rPr>
          <w:rFonts w:ascii="Times New Roman" w:hAnsi="Times New Roman" w:cs="Times New Roman"/>
          <w:b/>
          <w:i w:val="0"/>
          <w:sz w:val="30"/>
        </w:rPr>
        <w:t>Thứ ba, về khoáng sản:</w:t>
      </w:r>
      <w:r>
        <w:rPr>
          <w:rFonts w:ascii="Times New Roman" w:hAnsi="Times New Roman" w:cs="Times New Roman"/>
          <w:b w:val="0"/>
          <w:i w:val="0"/>
          <w:sz w:val="30"/>
        </w:rPr>
        <w:t xml:space="preserve"> Phòng đã tham mưu Kế hoạch thực hiện Chiến lược phát triển ngành thép trên địa bàn tỉnh; thẩm định Báo cáo nghiên cứu khả thi dự án khai thác mỏ sắt Quý Xa; kiểm tra nghiệm thu các hạng mục của Dự án mở rộng mỏ đồng Sin Quyền; cấp Giấy chứng nhận kỹ thuật an toàn khai thác hầm lò cho Chi nhánh Mỏ tuyển đồng Sin Quyền; làm việc trực tiếp với các nhà đầu tư tại mỏ Quý Xa, mỏ đất hiếm Bến Đền và các dự án apatit. Đến nay, trong 45 mỏ nhóm I và khoáng chất công nghiệp có 22 dự án đang hoạt động, 12 mỏ chưa đưa vào sản xuất và 11 dự án tạm dừng.</w:t>
      </w:r>
    </w:p>
    <w:p>
      <w:pPr>
        <w:spacing w:line="240" w:lineRule="auto" w:before="120" w:after="120"/>
        <w:ind w:firstLine="720"/>
        <w:jc w:val="both"/>
      </w:pPr>
      <w:r>
        <w:rPr>
          <w:rFonts w:ascii="Times New Roman" w:hAnsi="Times New Roman" w:cs="Times New Roman"/>
          <w:b/>
          <w:i w:val="0"/>
          <w:sz w:val="30"/>
        </w:rPr>
        <w:t>Thứ tư, về hóa chất:</w:t>
      </w:r>
      <w:r>
        <w:rPr>
          <w:rFonts w:ascii="Times New Roman" w:hAnsi="Times New Roman" w:cs="Times New Roman"/>
          <w:b w:val="0"/>
          <w:i w:val="0"/>
          <w:sz w:val="30"/>
        </w:rPr>
        <w:t xml:space="preserve"> lũy kế 8 tháng đã thẩm định 06 hồ sơ nhập khẩu hóa chất cần kiểm soát đặc biệt nhóm 1, trình UBND tỉnh 03 dự thảo giấy phép; thẩm định 05 hồ sơ đủ điều kiện sản xuất, kinh doanh hóa chất có điều kiện; kiểm tra bốn đơn vị theo kế hoạch, xử phạt một đơn vị 45 triệu đồng; tham gia Tổ soạn thảo Kế hoạch phòng ngừa, ứng phó sự cố hóa chất cấp quốc gia.</w:t>
      </w:r>
    </w:p>
    <w:p>
      <w:pPr>
        <w:spacing w:line="240" w:lineRule="auto" w:before="120" w:after="120"/>
        <w:ind w:firstLine="720"/>
        <w:jc w:val="both"/>
      </w:pPr>
      <w:r>
        <w:rPr>
          <w:rFonts w:ascii="Times New Roman" w:hAnsi="Times New Roman" w:cs="Times New Roman"/>
          <w:b/>
          <w:i w:val="0"/>
          <w:sz w:val="30"/>
        </w:rPr>
        <w:t>Thứ năm, về an toàn thực phẩm và chất lượng sản phẩm:</w:t>
      </w:r>
      <w:r>
        <w:rPr>
          <w:rFonts w:ascii="Times New Roman" w:hAnsi="Times New Roman" w:cs="Times New Roman"/>
          <w:b w:val="0"/>
          <w:i w:val="0"/>
          <w:sz w:val="30"/>
        </w:rPr>
        <w:t xml:space="preserve"> đã cấp 41 Giấy chứng nhận cơ sở đủ điều kiện an toàn thực phẩm; tham mưu Quyết định số 4363/QĐ-SCT ngày 21/7/2026 và kiểm tra 09 cơ sở theo kế hoạch chuyên đề; riêng tháng 7 đăng tải 230 bản tự công bố sản phẩm; tham mưu đề nghị UBND tỉnh ủy quyền cho Giám đốc Sở thực hiện một số nhiệm vụ về an toàn thực phẩm, kinh doanh rượu và chất lượng sản phẩm.</w:t>
      </w:r>
    </w:p>
    <w:p>
      <w:pPr>
        <w:spacing w:line="240" w:lineRule="auto" w:before="120" w:after="120"/>
        <w:ind w:firstLine="720"/>
        <w:jc w:val="both"/>
      </w:pPr>
      <w:r>
        <w:rPr>
          <w:rFonts w:ascii="Times New Roman" w:hAnsi="Times New Roman" w:cs="Times New Roman"/>
          <w:b/>
          <w:i w:val="0"/>
          <w:sz w:val="30"/>
        </w:rPr>
        <w:t>Thứ sáu, về phát triển công nghiệp, khuyến công và các lĩnh vực khác:</w:t>
      </w:r>
      <w:r>
        <w:rPr>
          <w:rFonts w:ascii="Times New Roman" w:hAnsi="Times New Roman" w:cs="Times New Roman"/>
          <w:b w:val="0"/>
          <w:i w:val="0"/>
          <w:sz w:val="30"/>
        </w:rPr>
        <w:t xml:space="preserve"> Phòng đã hoàn thành ba nhiệm vụ lớn theo yêu cầu của UBND tỉnh và Bộ Công Thương là trình phê duyệt Kế hoạch thực hiện Chương trình phát triển công nghiệp hỗ trợ, ban hành Kế hoạch phát triển công nghiệp sinh học thành ngành kinh tế - kỹ thuật lĩnh vực Công Thương, trình dự thảo Kế hoạch thực hiện Kết luận số 83-KL/TW của Bộ Chính trị về phát triển công nghiệp vật liệu; tham mưu Chương trình khuyến công giai đoạn 2026 - 2030, Kế hoạch khuyến công địa phương năm 2026 và hồ sơ Nghị quyết của HĐND tỉnh về mức chi khuyến công; ban hành Phương án phòng chống thiên tai và tìm kiếm cứu nạn ngành Công Thương năm 2026; tham gia các Hội đồng thẩm định đánh giá tác động môi trường, giấy phép môi trường; rà soát, công bố các cơ sở chưa bảo đảm phòng cháy, chữa cháy thuộc ngành quản lý.</w:t>
      </w:r>
    </w:p>
    <w:p>
      <w:pPr>
        <w:spacing w:line="240" w:lineRule="auto" w:before="120" w:after="120"/>
        <w:ind w:firstLine="720"/>
        <w:jc w:val="both"/>
      </w:pPr>
      <w:r>
        <w:rPr>
          <w:rFonts w:ascii="Times New Roman" w:hAnsi="Times New Roman" w:cs="Times New Roman"/>
          <w:b/>
          <w:i w:val="0"/>
          <w:sz w:val="30"/>
        </w:rPr>
        <w:t>2. Về khó khăn, vướng mắc</w:t>
      </w:r>
    </w:p>
    <w:p>
      <w:pPr>
        <w:spacing w:line="240" w:lineRule="auto" w:before="120" w:after="120"/>
        <w:ind w:firstLine="720"/>
        <w:jc w:val="both"/>
      </w:pPr>
      <w:r>
        <w:rPr>
          <w:rFonts w:ascii="Times New Roman" w:hAnsi="Times New Roman" w:cs="Times New Roman"/>
          <w:b/>
          <w:i w:val="0"/>
          <w:sz w:val="30"/>
        </w:rPr>
        <w:t>Một là,</w:t>
      </w:r>
      <w:r>
        <w:rPr>
          <w:rFonts w:ascii="Times New Roman" w:hAnsi="Times New Roman" w:cs="Times New Roman"/>
          <w:b w:val="0"/>
          <w:i w:val="0"/>
          <w:sz w:val="30"/>
        </w:rPr>
        <w:t xml:space="preserve"> các cụm công nghiệp Phú Thịnh 1, 2, 3, Y Can, Minh Quân tồn đọng kéo dài do giải phóng mặt bằng chưa xong, năng lực tài chính của chủ đầu tư hạn chế; quy hoạch chung cấp xã lập chậm nên nhiều cụm công nghiệp chưa đủ cơ sở lập quy hoạch chi tiết; hồ sơ thành lập cụm của một số xã, phường phải giải trình, bổ sung nhiều lần.</w:t>
      </w:r>
    </w:p>
    <w:p>
      <w:pPr>
        <w:spacing w:line="240" w:lineRule="auto" w:before="120" w:after="120"/>
        <w:ind w:firstLine="720"/>
        <w:jc w:val="both"/>
      </w:pPr>
      <w:r>
        <w:rPr>
          <w:rFonts w:ascii="Times New Roman" w:hAnsi="Times New Roman" w:cs="Times New Roman"/>
          <w:b/>
          <w:i w:val="0"/>
          <w:sz w:val="30"/>
        </w:rPr>
        <w:t>Hai là,</w:t>
      </w:r>
      <w:r>
        <w:rPr>
          <w:rFonts w:ascii="Times New Roman" w:hAnsi="Times New Roman" w:cs="Times New Roman"/>
          <w:b w:val="0"/>
          <w:i w:val="0"/>
          <w:sz w:val="30"/>
        </w:rPr>
        <w:t xml:space="preserve"> 12 mỏ chưa đưa vào sản xuất và 11 dự án tạm dừng đang ảnh hưởng trực tiếp đến nguồn nguyên liệu cho các nhà máy phân bón, hóa chất, luyện kim; nguyên nhân chủ yếu là bồi thường, giải phóng mặt bằng, thủ tục đất đai và năng lực tài chính của chủ đầu tư.</w:t>
      </w:r>
    </w:p>
    <w:p>
      <w:pPr>
        <w:spacing w:line="240" w:lineRule="auto" w:before="120" w:after="120"/>
        <w:ind w:firstLine="720"/>
        <w:jc w:val="both"/>
      </w:pPr>
      <w:r>
        <w:rPr>
          <w:rFonts w:ascii="Times New Roman" w:hAnsi="Times New Roman" w:cs="Times New Roman"/>
          <w:b/>
          <w:i w:val="0"/>
          <w:sz w:val="30"/>
        </w:rPr>
        <w:t>Ba là,</w:t>
      </w:r>
      <w:r>
        <w:rPr>
          <w:rFonts w:ascii="Times New Roman" w:hAnsi="Times New Roman" w:cs="Times New Roman"/>
          <w:b w:val="0"/>
          <w:i w:val="0"/>
          <w:sz w:val="30"/>
        </w:rPr>
        <w:t xml:space="preserve"> địa bàn quản lý mở rộng sau hợp nhất trong khi biên chế không tăng; từ ngày 15/9/2026 Sở tiếp nhận thêm chức năng quản lý địa chất, khoáng sản và khu công nghiệp theo Nghị quyết số 66.25/2026/NQ-CP, khối lượng hồ sơ và thủ tục hành chính của Phòng sẽ tăng đáng kể.</w:t>
      </w:r>
    </w:p>
    <w:p>
      <w:pPr>
        <w:spacing w:line="240" w:lineRule="auto" w:before="120" w:after="120"/>
        <w:ind w:firstLine="720"/>
        <w:jc w:val="both"/>
      </w:pPr>
      <w:r>
        <w:rPr>
          <w:rFonts w:ascii="Times New Roman" w:hAnsi="Times New Roman" w:cs="Times New Roman"/>
          <w:b/>
          <w:i w:val="0"/>
          <w:sz w:val="30"/>
        </w:rPr>
        <w:t>3. Về nhiệm vụ trọng tâm 3 tháng cuối năm và đề xuất</w:t>
      </w:r>
    </w:p>
    <w:p>
      <w:pPr>
        <w:spacing w:line="240" w:lineRule="auto" w:before="120" w:after="120"/>
        <w:ind w:firstLine="720"/>
        <w:jc w:val="both"/>
      </w:pPr>
      <w:r>
        <w:rPr>
          <w:rFonts w:ascii="Times New Roman" w:hAnsi="Times New Roman" w:cs="Times New Roman"/>
          <w:b/>
          <w:i w:val="0"/>
          <w:sz w:val="30"/>
        </w:rPr>
        <w:t>Một là,</w:t>
      </w:r>
      <w:r>
        <w:rPr>
          <w:rFonts w:ascii="Times New Roman" w:hAnsi="Times New Roman" w:cs="Times New Roman"/>
          <w:b w:val="0"/>
          <w:i w:val="0"/>
          <w:sz w:val="30"/>
        </w:rPr>
        <w:t xml:space="preserve"> tổ chức họp Hội đồng, hoàn thiện thủ tục lựa chọn chủ đầu tư các Cụm công nghiệp Mông Sơn, Tân Nguyên, Châu Quế, Phú Thịnh 6, Xuân Ái và trình UBND tỉnh quyết định thành lập; trình ban hành Quy định tiêu chí lựa chọn chủ đầu tư các cụm công nghiệp hình thành trước đây bằng vốn ngân sách; tập trung đôn đốc giải phóng mặt bằng tại Khu công nghiệp Trấn Yên và các cụm công nghiệp trọng điểm để hoàn thành mục tiêu mặt bằng sạch năm 2026 theo Nghị quyết số 34-NQ/TU.</w:t>
      </w:r>
    </w:p>
    <w:p>
      <w:pPr>
        <w:spacing w:line="240" w:lineRule="auto" w:before="120" w:after="120"/>
        <w:ind w:firstLine="720"/>
        <w:jc w:val="both"/>
      </w:pPr>
      <w:r>
        <w:rPr>
          <w:rFonts w:ascii="Times New Roman" w:hAnsi="Times New Roman" w:cs="Times New Roman"/>
          <w:b/>
          <w:i w:val="0"/>
          <w:sz w:val="30"/>
        </w:rPr>
        <w:t>Hai là,</w:t>
      </w:r>
      <w:r>
        <w:rPr>
          <w:rFonts w:ascii="Times New Roman" w:hAnsi="Times New Roman" w:cs="Times New Roman"/>
          <w:b w:val="0"/>
          <w:i w:val="0"/>
          <w:sz w:val="30"/>
        </w:rPr>
        <w:t xml:space="preserve"> tiếp nhận và tổ chức thực hiện ngay nhiệm vụ quản lý địa chất, khoáng sản, khu công nghiệp theo Nghị quyết số 66.25/2026/NQ-CP; hoàn thành báo cáo Đoàn giám sát của HĐND tỉnh về quản lý, khai thác, chế biến quặng apatit; tham mưu Kế hoạch triển khai Bài toán lớn số 02 của tỉnh; rà soát, phân nhóm nguyên nhân từng dự án khoáng sản chậm triển khai để tham mưu UBND tỉnh chỉ đạo tháo gỡ.</w:t>
      </w:r>
    </w:p>
    <w:p>
      <w:pPr>
        <w:spacing w:line="240" w:lineRule="auto" w:before="120" w:after="120"/>
        <w:ind w:firstLine="720"/>
        <w:jc w:val="both"/>
      </w:pPr>
      <w:r>
        <w:rPr>
          <w:rFonts w:ascii="Times New Roman" w:hAnsi="Times New Roman" w:cs="Times New Roman"/>
          <w:b/>
          <w:i w:val="0"/>
          <w:sz w:val="30"/>
        </w:rPr>
        <w:t>Ba là,</w:t>
      </w:r>
      <w:r>
        <w:rPr>
          <w:rFonts w:ascii="Times New Roman" w:hAnsi="Times New Roman" w:cs="Times New Roman"/>
          <w:b w:val="0"/>
          <w:i w:val="0"/>
          <w:sz w:val="30"/>
        </w:rPr>
        <w:t xml:space="preserve"> duy trì thẩm định, cấp phép vật liệu nổ công nghiệp, hóa chất, an toàn thực phẩm đúng hạn; thường trực phòng chống thiên tai đến hết mùa mưa lũ; chuẩn bị tổng kết năm 2026 và xây dựng chương trình công tác năm 2027 của Phòng.</w:t>
      </w:r>
    </w:p>
    <w:p>
      <w:pPr>
        <w:spacing w:line="240" w:lineRule="auto" w:before="120" w:after="120"/>
        <w:ind w:firstLine="720"/>
        <w:jc w:val="both"/>
      </w:pPr>
      <w:r>
        <w:rPr>
          <w:rFonts w:ascii="Times New Roman" w:hAnsi="Times New Roman" w:cs="Times New Roman"/>
          <w:b w:val="0"/>
          <w:i w:val="0"/>
          <w:sz w:val="30"/>
        </w:rPr>
        <w:t>Phòng xin đề xuất với Lãnh đạo Sở hai nội dung. Thứ nhất, đề nghị đồng chí Giám đốc chỉ đạo Văn phòng Sở cùng Phòng rà soát nhân sự, phòng làm việc, quy trình tiếp nhận hồ sơ và bàn giao dữ liệu từ Sở Nông nghiệp và Môi trường, Sở Xây dựng để việc tiếp nhận chức năng từ ngày 15/9 không làm gián đoạn giải quyết hồ sơ của doanh nghiệp. Thứ hai, đề nghị đồng chí Phó Giám đốc phụ trách chủ trì làm việc trực tiếp với UBND các xã, phường có hồ sơ cụm công nghiệp đang hoàn thiện để chốt một lần các nội dung cần bổ sung, rút ngắn thời gian thẩm định.</w:t>
      </w:r>
    </w:p>
    <w:p>
      <w:pPr>
        <w:spacing w:line="240" w:lineRule="auto" w:before="120" w:after="120"/>
        <w:jc w:val="both"/>
      </w:pPr>
      <w:r>
        <w:rPr>
          <w:rFonts w:ascii="Times New Roman" w:hAnsi="Times New Roman" w:cs="Times New Roman"/>
          <w:b/>
          <w:i/>
          <w:sz w:val="30"/>
        </w:rPr>
        <w:t>Kính thưa các đồng chí!</w:t>
      </w:r>
    </w:p>
    <w:p>
      <w:pPr>
        <w:spacing w:line="240" w:lineRule="auto" w:before="120" w:after="120"/>
        <w:ind w:firstLine="720"/>
        <w:jc w:val="both"/>
      </w:pPr>
      <w:r>
        <w:rPr>
          <w:rFonts w:ascii="Times New Roman" w:hAnsi="Times New Roman" w:cs="Times New Roman"/>
          <w:b w:val="0"/>
          <w:i w:val="0"/>
          <w:sz w:val="30"/>
        </w:rPr>
        <w:t>Phòng Quản lý Công nghiệp xin tiếp thu ý kiến chỉ đạo của Lãnh đạo Sở tại hội nghị và cam kết phân công rõ người, rõ việc, rõ thời hạn, phấn đấu hoàn thành toàn bộ nhiệm vụ năm 2026, góp phần cùng toàn ngành thực hiện thắng lợi các chỉ tiêu tăng trưởng của tỉnh.</w:t>
      </w:r>
    </w:p>
    <w:p>
      <w:pPr>
        <w:spacing w:line="240" w:lineRule="auto" w:before="120" w:after="120"/>
        <w:ind w:firstLine="720"/>
        <w:jc w:val="both"/>
      </w:pPr>
      <w:r>
        <w:rPr>
          <w:rFonts w:ascii="Times New Roman" w:hAnsi="Times New Roman" w:cs="Times New Roman"/>
          <w:b w:val="0"/>
          <w:i w:val="0"/>
          <w:sz w:val="30"/>
        </w:rPr>
        <w:t>Xin trân trọng cảm ơn!</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120" w:after="120"/>
    </w:pPr>
    <w:rPr>
      <w:rFonts w:ascii="Times New Roman" w:hAnsi="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