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c>
          <w:tcPr>
            <w:tcW w:type="dxa" w:w="3600"/>
            <w:tcBorders>
              <w:top w:val="none" w:color="FFFFFF" w:sz="0"/>
              <w:left w:val="none" w:color="FFFFFF" w:sz="0"/>
              <w:bottom w:val="none" w:color="FFFFFF" w:sz="0"/>
              <w:right w:val="none" w:color="FFFFFF" w:sz="0"/>
            </w:tcBorders>
          </w:tcPr>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6"/>
                <w:szCs w:val="26"/>
              </w:rPr>
              <w:t xml:space="preserve">ỦY BAN NHÂN DÂN</w:t>
            </w:r>
          </w:p>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6"/>
                <w:szCs w:val="26"/>
              </w:rPr>
              <w:t xml:space="preserve">TỈNH LÀO CAI</w:t>
            </w:r>
          </w:p>
          <w:p>
            <w:pPr>
              <w:pBdr>
                <w:top w:val="single" w:color="000000" w:sz="6" w:space="1"/>
              </w:pBdr>
              <w:spacing w:after="60"/>
              <w:ind w:left="900" w:right="900"/>
              <w:jc w:val="center"/>
              <w:rPr>
                <w:rFonts w:ascii="Times New Roman" w:hAnsi="Times New Roman" w:eastAsia="Times New Roman" w:cs="Times New Roman"/>
              </w:rPr>
            </w:pPr>
          </w:p>
          <w:p>
            <w:pPr>
              <w:spacing w:after="0" w:before="0" w:line="276"/>
              <w:jc w:val="center"/>
              <w:rPr>
                <w:rFonts w:ascii="Times New Roman" w:hAnsi="Times New Roman" w:eastAsia="Times New Roman" w:cs="Times New Roman"/>
              </w:rPr>
            </w:pPr>
            <w:r>
              <w:rPr>
                <w:rFonts w:ascii="Times New Roman" w:hAnsi="Times New Roman" w:eastAsia="Times New Roman" w:cs="Times New Roman"/>
                <w:sz w:val="26"/>
                <w:szCs w:val="26"/>
              </w:rPr>
              <w:t xml:space="preserve">Số:        /BC-UBND</w:t>
            </w:r>
          </w:p>
        </w:tc>
        <w:tc>
          <w:tcPr>
            <w:tcW w:type="dxa" w:w="5700"/>
            <w:tcBorders>
              <w:top w:val="none" w:color="FFFFFF" w:sz="0"/>
              <w:left w:val="none" w:color="FFFFFF" w:sz="0"/>
              <w:bottom w:val="none" w:color="FFFFFF" w:sz="0"/>
              <w:right w:val="none" w:color="FFFFFF" w:sz="0"/>
            </w:tcBorders>
          </w:tcPr>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5"/>
                <w:szCs w:val="25"/>
              </w:rPr>
              <w:t xml:space="preserve">CỘNG HÒA XÃ HỘI CHỦ NGHĨA VIỆT NAM</w:t>
            </w:r>
          </w:p>
          <w:p>
            <w:pPr>
              <w:spacing w:after="0" w:before="0" w:line="276"/>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Độc lập - Tự do - Hạnh phúc</w:t>
            </w:r>
          </w:p>
          <w:p>
            <w:pPr>
              <w:pBdr>
                <w:top w:val="single" w:color="000000" w:sz="6" w:space="1"/>
              </w:pBdr>
              <w:spacing w:after="60"/>
              <w:ind w:left="1250" w:right="1250"/>
              <w:jc w:val="center"/>
              <w:rPr>
                <w:rFonts w:ascii="Times New Roman" w:hAnsi="Times New Roman" w:eastAsia="Times New Roman" w:cs="Times New Roman"/>
              </w:rPr>
            </w:pPr>
          </w:p>
          <w:p>
            <w:pPr>
              <w:spacing w:after="0" w:before="0" w:line="276"/>
              <w:jc w:val="center"/>
              <w:rPr>
                <w:rFonts w:ascii="Times New Roman" w:hAnsi="Times New Roman" w:eastAsia="Times New Roman" w:cs="Times New Roman"/>
              </w:rPr>
            </w:pPr>
            <w:r>
              <w:rPr>
                <w:rFonts w:ascii="Times New Roman" w:hAnsi="Times New Roman" w:eastAsia="Times New Roman" w:cs="Times New Roman"/>
                <w:i/>
                <w:iCs/>
                <w:sz w:val="28"/>
                <w:szCs w:val="28"/>
              </w:rPr>
              <w:t xml:space="preserve">Lào Cai, ngày      tháng 10 năm 2026</w:t>
            </w:r>
          </w:p>
        </w:tc>
      </w:tr>
    </w:tbl>
    <w:p>
      <w:pPr>
        <w:spacing w:after="60" w:before="0" w:line="262"/>
        <w:jc w:val="center"/>
        <w:rPr>
          <w:rFonts w:ascii="Times New Roman" w:hAnsi="Times New Roman" w:eastAsia="Times New Roman" w:cs="Times New Roman"/>
        </w:rPr>
      </w:pPr>
      <w:r>
        <w:rPr>
          <w:rFonts w:ascii="Times New Roman" w:hAnsi="Times New Roman" w:eastAsia="Times New Roman" w:cs="Times New Roman"/>
          <w:sz w:val="28"/>
          <w:szCs w:val="28"/>
        </w:rPr>
        <w:t xml:space="preserve"/>
      </w:r>
    </w:p>
    <w:p>
      <w:pPr>
        <w:spacing w:after="0" w:before="0" w:line="262"/>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BÁO CÁO</w:t>
      </w:r>
    </w:p>
    <w:p>
      <w:pPr>
        <w:spacing w:after="0" w:before="0" w:line="262"/>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Tình hình triển khai, khó khăn, vướng mắc và đề xuất tháo gỡ</w:t>
      </w:r>
    </w:p>
    <w:p>
      <w:pPr>
        <w:spacing w:after="0" w:before="0" w:line="262"/>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các dự án công nghiệp trọng điểm phục vụ chương trình làm việc</w:t>
      </w:r>
    </w:p>
    <w:p>
      <w:pPr>
        <w:spacing w:after="200" w:before="0" w:line="262"/>
        <w:jc w:val="center"/>
        <w:rPr>
          <w:rFonts w:ascii="Times New Roman" w:hAnsi="Times New Roman" w:eastAsia="Times New Roman" w:cs="Times New Roman"/>
        </w:rPr>
      </w:pPr>
      <w:r>
        <w:rPr>
          <w:rFonts w:ascii="Times New Roman" w:hAnsi="Times New Roman" w:eastAsia="Times New Roman" w:cs="Times New Roman"/>
          <w:b/>
          <w:bCs/>
          <w:sz w:val="28"/>
          <w:szCs w:val="28"/>
        </w:rPr>
        <w:t xml:space="preserve">của Thường trực Tỉnh ủy ngày 19/10/2026</w:t>
      </w:r>
    </w:p>
    <w:p>
      <w:pPr>
        <w:spacing w:after="1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Thực hiện Chương trình số 130-CTr/TU ngày 16/10/2026 của Tỉnh ủy Lào Cai về việc Thường trực Tỉnh ủy kiểm tra, tháo gỡ khó khăn, vướng mắc các dự án khu, cụm công nghiệp trọng điểm trên địa bàn tỉnh, Ủy ban nhân dân tỉnh báo cáo Thường trực Tỉnh ủy tình hình triển khai, khó khăn, vướng mắc và hướng giải quyết đối với các dự án thuộc chương trình làm việc ngày 19/10/2026 tại phường Cam Đường như sau:</w:t>
      </w:r>
    </w:p>
    <w:p>
      <w:pPr>
        <w:keepNext/>
        <w:spacing w:after="10"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I. TÌNH HÌNH TỪNG DỰ ÁN</w:t>
      </w:r>
    </w:p>
    <w:p>
      <w:pPr>
        <w:keepNext/>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1. Khu công nghiệp Phú Xuân và Khu công nghiệp Phú Xuân 1 (xã Gia Phú)</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Chủ đầu tư: Công ty cổ phần Công nghiệp Linh Linh. Khu công nghiệp Phú Xuân 300 ha, tổng vốn 3.277 tỷ đồng (Quyết định số 2336/QĐ-UBND ngày 02/7/2026, điều chỉnh tại Quyết định số 2979/QĐ-UBND ngày 21/8/2026); Khu công nghiệp Phú Xuân 1 là 200 ha, tổng vốn 2.185 tỷ đồng (Quyết định số 2338/QĐ-UBND ngày 02/7/2026, điều chỉnh tại Quyết định số 2978/QĐ-UBND ngày 21/8/2026). Tiến độ theo chủ trương đầu tư: thi công hạ tầng năm 2027, vận hành từ Quý I/2028; đã khởi công ngày 26/8/2026; 38 nhóm ngành, nghề thu hút đầu tư đã được thống nhất (Văn bản số 9813/UBND-XD ngày 27/9/2026).</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Đến ngày 16/10/2026: cả 02 khu đã kiểm đếm 260/500 ha (52%); Khu công nghiệp Phú Xuân đã thông báo thu hồi đất 300 ha, áp giá 148 ha, niêm yết 17,13 ha, chi trả 42,04 tỷ đồng, đã có giấy phép môi trường, quyết định cho thuê đất, đang san gạt 4,3 ha; Khu công nghiệp Phú Xuân 1 đã thông báo thu hồi đất 200 ha, áp giá 20 ha, chưa chi trả; mặt bằng bàn giao chính thức mới đạt 4,3/500 ha (Báo cáo tháng 10/2026 của Ban Quản lý Khu kinh tế tỉnh).</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Giải phóng mặt bằng chậm, diện tích bàn giao nhỏ lẻ, không liên tục (từ ngày 20/7/2026 đến nay bàn giao 4,3 ha); Ban Quản lý dự án phường Lào Cai mới kiểm đếm 130 ha theo hợp đồng, chưa hoàn thành áp giá, thẩm định tài sản, niêm yết và không ký tiếp hợp đồng, chủ đầu tư phải giới thiệu Ban Quản lý dự án ngoài tỉnh phối hợp với Ban Quản lý dự án xã Gia Phú; cán bộ địa chính xã Gia Phú thiếu (03 người, 01 người có kinh nghiệm được cử đi học); một số hộ tạo lập công trình, cây trồng trái phép để trục lợi bồi thường, có dấu hiệu người ngoài khu vực móc nối với chủ đất; nhiều hộ chỉ bàn giao mặt bằng khi có nơi tái định cư trong khi khu tái định cư Phú Xuân (Quyết định số 3105/QĐ-UBND ngày 27/8/2026) chưa xây dựng xong; tuyến đường kết nối nút giao IC17 cao tốc Nội Bài - Lào Cai chưa triển khai, ảnh hưởng thu hút nhà đầu tư thứ cấp; nhu cầu cấp nước hai khu theo quy hoạch khoảng 58.000 m3/ngày đêm, quy hoạch xác định nhà máy nước 70.000 m3/ngày đêm tại Khu công nghiệp Phú Xuân 1, nguồn và tuyến ống nước thô đang hoàn thiện hồ sơ dự án (Văn bản số 10076/UBND-XD ngày 03/10/2026; Văn bản số 10150/UBND-XD ngày 06/10/2026) (Báo cáo tháng 10/2026 của Ban Quản lý Khu kinh tế tỉnh). Nguyên nhân: lực lượng và tổ chức làm công tác bồi thường của địa phương chưa đáp ứng khối lượng; khu tái định cư, hạ tầng ngoài hàng rào được lập sau khi chấp thuận chủ trương đầu tư. Trách nhiệm: Ủy ban nhân dân xã Gia Phú về kiểm đếm, phê duyệt phương án, bàn giao mặt bằng và khu tái định cư; Sở Xây dựng về đường kết nối IC17 và phương án cấp nước; Sở Tài chính về vốn; chủ đầu tư về vốn, nhân lực thi công. Tiến độ hoàn thành: bàn giao phần đã áp giá (148 ha và 20 ha) trong Quý IV/2026; phê duyệt dự án nước thô và khởi công đường kết nối IC17 trong Quý IV/2026; thi công hạ tầng đồng loạt từ Quý I/2027.</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Ủy ban nhân dân xã Gia Phú xây dựng kế hoạch giải phóng mặt bằng chi tiết theo từng đợt, rõ trách nhiệm từng cơ quan, cá nhân; Trung tâm Phát triển quỹ đất tỉnh hỗ trợ nhân lực hoặc ký hợp đồng trực tiếp với chủ đầu tư; Sở Nội vụ tham mưu tăng cường cán bộ địa chính cho xã; xã lập hồ sơ, xử lý các trường hợp xây dựng trái phép, đẩy nhanh khu tái định cư Phú Xuân; Sở Xây dựng, Ban Quản lý dự án đầu tư xây dựng công trình giao thông tập trung triển khai đường kết nối IC17; Sở Xây dựng xác định phương án, tiến độ cấp nước cho hai khu theo Văn bản số 10150/UBND-XD; chủ đầu tư thu hồi khoáng sản khi san nền theo Văn bản số 6452/SCT-KS ngày 09/10/2026 và thi công ngay trên phần đã có mặt bằng.</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Đảng ủy xã Gia Phú tập trung lãnh đạo giải phóng mặt bằng, dân vận, không để phát sinh công trình trái phép; Đảng ủy Công an tỉnh chỉ đạo xác minh, xử lý nghiêm hành vi móc nối xây dựng trái phép để trục lợi chính sách bồi thường; Mặt trận Tổ quốc và các tổ chức chính trị - xã hội tỉnh tham gia tuyên truyền, vận động nhân dân bàn giao mặt bằng; Đảng đoàn Hội đồng nhân dân tỉnh thống nhất chủ trương ưu tiên bố trí vốn đầu tư công cho khu tái định cư Phú Xuân, đường kết nối IC17 và nhà máy nước khi Ủy ban nhân dân tỉnh trình.</w:t>
      </w:r>
    </w:p>
    <w:p>
      <w:pPr>
        <w:keepNext/>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2. Khu công nghiệp Võ Lao (xã Võ Lao, xã Tằng Loỏng)</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Chủ đầu tư: Công ty cổ phần Đầu tư hạ tầng Châu Giang; 482,6 ha; tổng vốn 5.171,344 tỷ đồng (Quyết định số 2463/QĐ-UBND ngày 16/7/2026); giai đoạn 1 là 200 ha hoàn thành Quý III/2029; khu công nghiệp tổng hợp, ưu tiên công nghiệp phụ trợ và chế biến sâu sản phẩm của Khu công nghiệp Tằng Loỏng. </w:t>
      </w:r>
      <w:r>
        <w:rPr>
          <w:rFonts w:ascii="Times New Roman" w:hAnsi="Times New Roman" w:eastAsia="Times New Roman" w:cs="Times New Roman"/>
          <w:sz w:val="28"/>
          <w:szCs w:val="28"/>
        </w:rPr>
        <w:t xml:space="preserve">Khi hoàn thành sẽ tạo quỹ đất sạch thu hút nhà đầu tư thứ cấp, tạo việc làm và nguồn thu ngân sách cho địa phương</w:t>
      </w:r>
      <w:r>
        <w:rPr>
          <w:rFonts w:ascii="Times New Roman" w:hAnsi="Times New Roman" w:eastAsia="Times New Roman" w:cs="Times New Roman"/>
          <w:sz w:val="28"/>
          <w:szCs w:val="28"/>
        </w:rPr>
        <w:t xml:space="preserve">. Đến nay: đã cấp Giấy chứng nhận đăng ký đầu tư ngày 16/10/2026; đo đạc 200 ha, 04 tờ bản đồ (71 ha) đã phê duyệt, bàn giao cho xã, 16 tờ còn lại đang niêm yết công khai đến ngày 22/10/2026; đã ký hợp đồng đo đạc 282 ha còn lại, hoàn thành ngày 30/11/2026; đang kiểm đếm, áp giá; phương án chuyển mục đích sử dụng rừng đã trình Hội đồng nhân dân tỉnh; xã Võ Lao đã tổ chức 02 cuộc họp triển khai kế hoạch thu hồi đất, 08 cuộc họp thôn, lập 07 tổ công tác dân vận; an ninh trật tự ổn định, không phát sinh xây dựng trái phép, không có khiếu kiện (Báo cáo tháng 10/2026 của Ban Quản lý Khu kinh tế tỉnh).</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Tiến độ bàn giao mặt bằng chậm so với mốc tại Thông báo số 173/TB-VPUBND ngày 01/10/2026 (20 ha trong tháng 10/2026, nay phấn đấu 28 ha trước ngày 05/11/2026); đo đạc, chỉnh lý bản đồ địa chính chậm; khu tái định cư xã Võ Lao chưa có chủ trương đầu tư (Tờ trình số 259/TTr-UBND ngày 25/9/2026, Sở Tài chính đang thẩm định) nên chưa trình phê duyệt được phương án cho các hộ phải di chuyển chỗ ở; đường bộ, đường sắt kết nối cần nâng cấp; nguồn nguyên liệu quặng apatit cho các dự án chế biến sâu tại khu (giai đoạn 1 khoảng 2 triệu tấn/năm) phụ thuộc tiến độ hoàn tất thủ tục dự án khai thác của Công ty cổ phần Phân lân nung chảy Lào Cai. Nguyên nhân: mốc khởi công theo chỉ đạo (tháng 11/2026) sớm hơn tiến độ tại chủ trương đầu tư (Quý II/2027); nhân lực đo đạc, bồi thường mỏng. Trách nhiệm: Ủy ban nhân dân xã Võ Lao, xã Tằng Loỏng về bàn giao mặt bằng; Sở Nông nghiệp và Môi trường về phê duyệt 16 tờ bản đồ còn lại; Sở Tài chính về chủ trương đầu tư khu tái định cư; chủ đầu tư về kinh phí bồi thường và điều kiện khởi công. Tiến độ hoàn thành: phê duyệt 16 tờ bản đồ ngay sau niêm yết (sau ngày 22/10/2026); bàn giao 28 ha trước ngày 05/11/2026, khoảng 100 ha cuối tháng 11/2026; khởi công tháng 11/2026.</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Sở Nông nghiệp và Môi trường phê duyệt bản đồ địa chính còn lại trong tháng 10/2026; Trung tâm Phát triển quỹ đất tỉnh hỗ trợ nhân lực cho xã; Sở Tài chính hoàn thành thẩm định, trình chủ trương đầu tư và bố trí vốn khu tái định cư xã Võ Lao trong tháng 10/2026; chủ đầu tư hoàn thiện thủ tục ký quỹ, môi trường, đất đai, phòng cháy và chữa cháy, xây dựng để khởi công tháng 11/2026; Sở Xây dựng tham mưu nâng cấp đường bộ, đường sắt kết nối; các sở hỗ trợ Công ty cổ phần Phân lân nung chảy Lào Cai hoàn tất thủ tục dự án khai thác apatit.</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Đảng ủy xã Võ Lao, xã Tằng Loỏng lãnh đạo giải phóng mặt bằng theo mốc, dân vận các hộ phải di chuyển chỗ ở; Đảng đoàn Hội đồng nhân dân tỉnh thống nhất chủ trương chuyển mục đích sử dụng rừng và chủ trương đầu tư khu tái định cư xã Võ Lao tại kỳ họp gần nhất; Thường trực Tỉnh ủy có ý kiến với các bộ, ngành Trung ương đẩy nhanh thủ tục dự án khai thác apatit bảo đảm nguyên liệu cho các dự án chế biến sâu tại khu.</w:t>
      </w:r>
    </w:p>
    <w:p>
      <w:pPr>
        <w:keepNext/>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3. Khu công nghiệp Cam Đường (phường Cam Đường)</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Chủ đầu tư: Công ty cổ phần Đầu tư Lê Premium; 196,3 ha; tổng vốn 1.996 tỷ đồng (Quyết định số 2548/QĐ-UBND ngày 23/7/2026). </w:t>
      </w:r>
      <w:r>
        <w:rPr>
          <w:rFonts w:ascii="Times New Roman" w:hAnsi="Times New Roman" w:eastAsia="Times New Roman" w:cs="Times New Roman"/>
          <w:sz w:val="28"/>
          <w:szCs w:val="28"/>
        </w:rPr>
        <w:t xml:space="preserve">Khi hoàn thành sẽ tạo quỹ đất sạch thu hút nhà đầu tư thứ cấp, tạo việc làm và nguồn thu ngân sách cho địa phương</w:t>
      </w:r>
      <w:r>
        <w:rPr>
          <w:rFonts w:ascii="Times New Roman" w:hAnsi="Times New Roman" w:eastAsia="Times New Roman" w:cs="Times New Roman"/>
          <w:sz w:val="28"/>
          <w:szCs w:val="28"/>
        </w:rPr>
        <w:t xml:space="preserve">. Đến nay: đã hoàn thành khảo sát địa hình, địa chất; đang lập Báo cáo nghiên cứu khả thi, thiết kế cơ sở, hồ sơ thỏa thuận đấu nối hạ tầng; đã quan trắc, lấy mẫu môi trường để lập giấy phép môi trường; hồ sơ phòng cháy và chữa cháy đang chuẩn bị; bàn giao mốc giải phóng mặt bằng ngày 21/10/2026, bản đồ đo đạc ngày 25/12/2026; đã ký hợp đồng với Ban Quản lý dự án phường Cam Đường về bồi thường, hỗ trợ, tái định cư; chưa chi trả bồi thường (Báo cáo tháng 10/2026 của Ban Quản lý Khu kinh tế tỉnh). Theo Ủy ban nhân dân phường Cam Đường, trong 196,3 ha đã có mặt bằng khoảng 143 ha (72,85%), còn khoảng 53 ha liên quan 148 hộ, nhu cầu tái định cư 212 lô (148 lô hộ chính chủ, 64 lô hộ phát sinh) (Báo cáo ngày 17/10/2026 của Ủy ban nhân dân phường Cam Đường).</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Phần 53 ha còn lại gắn với đất ở của 148 hộ nên phụ thuộc quỹ đất tái định cư: phường dự kiến bố trí 148 lô tại Khu tái định cư phường Xuân Tăng (Quyết định số 2369/QĐ-UBND ngày 09/12/2025; 21,4 ha; 234 tỷ đồng; 284 lô, còn 210 lô có thể bố trí; giai đoạn 1 là 178 lô đang thi công; giai đoạn 2 là 106 lô thực hiện năm 2027, cần 127 tỷ đồng) và 64 lô tại Khu tái định cư tổ dân phố số 42 (khoảng 15 ha, 620 lô, 250 tỷ đồng, giai đoạn 2026 - 2028, đang lập quy hoạch chi tiết và báo cáo đề xuất chủ trương đầu tư); chưa có quy hoạch khu nghĩa trang phục vụ di dời. Hạ tầng ngoài hàng rào: Trạm biến áp 110 kV Lào Cai 3 mới lắp 01 máy 40 MVA (thiết kế 2 máy) trong khi khu vực Cam Đường - Gia Phú sẽ có gần 700 ha khu công nghiệp mới; nhu cầu nước khoảng 11.200 m3/ngày đêm, chủ yếu nước thô, nhưng quy hoạch phân khu (theo ý kiến của Công ty cổ phần Cấp nước tỉnh) chưa cho chủ đầu tư đầu tư, kinh doanh cấp nước trong khu, Nhà máy nước Lào Cai chỉ cấp nước sinh hoạt giá cao, không cấp nước thô; thị trường bất động sản công nghiệp cạnh tranh gay gắt (nguồn cung 2026 - 2028 khoảng 7.200 ha, hấp thụ 6 tháng đầu năm 2026 gần 390 ha) (Báo cáo tháng 10/2026 của Ban Quản lý Khu kinh tế tỉnh). Nguyên nhân: dự án mới được chấp thuận ngày 23/7/2026; hai khu tái định cư và nghĩa trang chưa có vốn, chưa có chủ trương đầu tư; hạ tầng điện, nước ngoài hàng rào chưa được quy hoạch đồng bộ với tiến độ khu công nghiệp. Trách nhiệm: Ủy ban nhân dân phường Cam Đường về đo đạc, kiểm đếm, phương án bồi thường, hai khu tái định cư và quản lý trật tự xây dựng; Sở Tài chính về cân đối vốn; Sở Xây dựng về phương án cấp nước; Công ty Điện lực Lào Cai về nguồn, lưới điện; chủ đầu tư về hồ sơ thiết kế, thủ tục để khởi công. Tiến độ hoàn thành: bàn giao mốc ngày 21/10/2026, bản đồ đo đạc ngày 25/12/2026; hoàn thành kiểm đếm 53 ha trong Quý I/2027; hoàn thành giai đoạn 1 Khu tái định cư Xuân Tăng để bố trí các hộ chính chủ trong năm 2027; bàn giao mặt bằng, khởi công theo tiến độ tại Quyết định chấp thuận chủ trương đầu tư.</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Ủy ban nhân dân phường Cam Đường kiểm đếm, phê duyệt phương án trên phần 143 ha đã có mặt bằng để bàn giao trước; tuyên truyền, vận động, ngăn chặn xây dựng, cơi nới, trồng cây trái phép; đẩy nhanh giai đoạn 1 Khu tái định cư Xuân Tăng, hoàn thiện thủ tục Khu tái định cư tổ dân phố số 42 và quy hoạch khu nghĩa trang; Sở Tài chính thẩm định, tham mưu bố trí 127 tỷ đồng giai đoạn 2 Khu tái định cư Xuân Tăng (năm 2027) và 250 tỷ đồng Khu tái định cư tổ dân phố số 42 (2026 - 2028); Sở Xây dựng tham mưu việc chủ đầu tư được đầu tư, kinh doanh hệ thống cấp nước sạch và nước thô trong ranh giới khu công nghiệp (nguồn nước mặt sông Hồng) theo Văn bản số 10150/UBND-XD; Công ty Điện lực Lào Cai tổng hợp nhu cầu, bổ sung nguồn, lưới điện và trạm biến áp; đưa Khu công nghiệp Cam Đường vào Chương trình xúc tiến đầu tư năm 2027; chủ đầu tư hoàn thành Báo cáo nghiên cứu khả thi và thủ tục môi trường, phòng cháy và chữa cháy, xây dựng.</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Đảng ủy phường Cam Đường lãnh đạo giải phóng mặt bằng 53 ha, vận động di dời mồ mả, quản lý trật tự xây dựng; Đảng đoàn Hội đồng nhân dân tỉnh thống nhất chủ trương đầu tư và bố trí vốn Khu tái định cư tổ dân phố số 42, giai đoạn 2 Khu tái định cư Xuân Tăng và khu nghĩa trang phục vụ di dời; ủng hộ Ủy ban nhân dân tỉnh làm việc với Tập đoàn Điện lực Việt Nam về bổ sung máy biến áp thứ hai Trạm biến áp 110 kV Lào Cai 3 đáp ứng gần 700 ha khu công nghiệp mới tại khu vực Cam Đường - Gia Phú.</w:t>
      </w:r>
    </w:p>
    <w:p>
      <w:pPr>
        <w:keepNext/>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4. Khu công nghiệp Bản Qua (xã Bát Xát)</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Chủ đầu tư: Công ty cổ phần Đầu tư phát triển Công nghiệp Lào Cai; 76,39 ha (giai đoạn 1), khu công nghiệp sinh thái; tổng vốn 1.360,668 tỷ đồng (Quyết định số 2170/QĐ-UBND ngày 23/6/2026; Giấy chứng nhận đăng ký đầu tư ngày 30/6/2026); hoàn thành Quý IV/2027, lấp đầy 100% năm 2029. </w:t>
      </w:r>
      <w:r>
        <w:rPr>
          <w:rFonts w:ascii="Times New Roman" w:hAnsi="Times New Roman" w:eastAsia="Times New Roman" w:cs="Times New Roman"/>
          <w:sz w:val="28"/>
          <w:szCs w:val="28"/>
        </w:rPr>
        <w:t xml:space="preserve">Khi hoàn thành sẽ tạo quỹ đất sạch thu hút nhà đầu tư thứ cấp, tạo việc làm và nguồn thu ngân sách cho địa phương</w:t>
      </w:r>
      <w:r>
        <w:rPr>
          <w:rFonts w:ascii="Times New Roman" w:hAnsi="Times New Roman" w:eastAsia="Times New Roman" w:cs="Times New Roman"/>
          <w:sz w:val="28"/>
          <w:szCs w:val="28"/>
        </w:rPr>
        <w:t xml:space="preserve">. Đến nay: hồ sơ điều chỉnh quy hoạch chi tiết 1/500 đã nộp ngày 16/10/2026, Ban Quản lý Khu kinh tế tỉnh đang lấy ý kiến các sở, ngành (Văn bản số 1705/BQL-QHXD ngày 16/10/2026); đang thương thảo hợp đồng khảo sát địa chất; hồ sơ chuyển mục đích sử dụng rừng đang được Ủy ban nhân dân tỉnh hoàn thiện để trình Hội đồng nhân dân tỉnh (Tờ trình số 894/TTr-SNNMT ngày 09/10/2026 của Sở Nông nghiệp và Môi trường); đã đo trích lục 77,58 ha với 214 hộ (87 hộ khu vực dự kiến khởi công, 127 hộ khu vực còn lại) (Báo cáo tháng 10/2026 của Ban Quản lý Khu kinh tế tỉnh).</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Còn 4,11 ha với 34 hộ chưa đo đạc được do người dân không đồng ý thu hồi đất (trong đó 0,68 ha, 03 hộ thuộc khu vực dự kiến khởi công); trong phạm vi khu có khu đất sử dụng vào mục đích tâm linh của đồng bào dân tộc, người dân đề nghị tái định cư và nghĩa trang phải gần khu vực rừng cấm; chưa có khu tái định cư; Quốc lộ 4E đoạn qua khu công nghiệp và các tuyến đường khu vực cần nâng cấp; thời gian thi công từ khởi công (Quý I/2027) đến hoàn thành (Quý IV/2027) ngắn (Báo cáo tháng 10/2026 của Ban Quản lý Khu kinh tế tỉnh). Nguyên nhân: công tác dân vận chưa tạo được đồng thuận ở một số hộ; phương án tái định cư, nghĩa trang chưa được xác định; các thủ tục sau chấp thuận chủ trương đầu tư phải thực hiện song song với giải phóng mặt bằng. Trách nhiệm: Ủy ban nhân dân xã Bát Xát và Ban Quản lý dự án Bát Xát về giải phóng mặt bằng, phương án tái định cư, nghĩa trang; Sở Xây dựng về nâng cấp Quốc lộ 4E; chủ đầu tư về thủ tục và khởi công đúng mốc. Tiến độ hoàn thành: phê duyệt điều chỉnh quy hoạch chi tiết và chủ trương chuyển mục đích sử dụng rừng trong Quý IV/2026; bàn giao mặt bằng khu vực khởi công trong Quý IV/2026; khởi công Quý I/2027.</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Ủy ban nhân dân xã Bát Xát vận động 34 hộ, hoàn thành đo đạc, kiểm đếm, xác định vị trí tái định cư và nghĩa trang phù hợp với phong tục, gần khu vực rừng cấm theo nguyện vọng của người dân; Ban Quản lý dự án Bát Xát phối hợp chủ đầu tư triển khai bồi thường; Ban Quản lý Khu kinh tế tỉnh hoàn thành thẩm định điều chỉnh quy hoạch chi tiết; Sở Xây dựng tham mưu đầu tư nâng cấp Quốc lộ 4E đoạn qua khu công nghiệp; chủ đầu tư hoàn thành thủ tục đất đai, môi trường, xây dựng, ký quỹ trong Quý IV/2026.</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Đảng ủy xã Bát Xát lãnh đạo dân vận các hộ chưa đồng thuận, tôn trọng phong tục, tín ngưỡng của đồng bào, phát huy vai trò người có uy tín; Mặt trận Tổ quốc và các tổ chức chính trị - xã hội tỉnh vào cuộc tuyên truyền, vận động; Đảng đoàn Hội đồng nhân dân tỉnh thống nhất chủ trương chuyển mục đích sử dụng rừng, chủ trương đầu tư khu tái định cư, nghĩa trang và nâng cấp Quốc lộ 4E; cho chủ trương về hợp tác với các tỉnh biên giới phía Trung Quốc và đẩy nhanh xây dựng cửa khẩu Bản Vược để thu hút nhà đầu tư thứ cấp.</w:t>
      </w:r>
    </w:p>
    <w:p>
      <w:pPr>
        <w:keepNext/>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5. Cụm công nghiệp Thống Nhất 1 (xã Gia Phú)</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Chủ đầu tư: Công ty cổ phần Đầu tư phát triển Công nghiệp Lào Cai; 74,95 ha; thành lập ngày 20/02/2025. </w:t>
      </w:r>
      <w:r>
        <w:rPr>
          <w:rFonts w:ascii="Times New Roman" w:hAnsi="Times New Roman" w:eastAsia="Times New Roman" w:cs="Times New Roman"/>
          <w:sz w:val="28"/>
          <w:szCs w:val="28"/>
        </w:rPr>
        <w:t xml:space="preserve">Khi hoàn thành sẽ tạo quỹ đất sạch thu hút nhà đầu tư thứ cấp, tạo việc làm và nguồn thu ngân sách cho địa phương</w:t>
      </w:r>
      <w:r>
        <w:rPr>
          <w:rFonts w:ascii="Times New Roman" w:hAnsi="Times New Roman" w:eastAsia="Times New Roman" w:cs="Times New Roman"/>
          <w:sz w:val="28"/>
          <w:szCs w:val="28"/>
        </w:rPr>
        <w:t xml:space="preserve">. Đến nay: khởi công ngày 07/5/2026; đã chi trả 142/144 hộ; thuê đất giai đoạn 1 là 29,58 ha, có giấy phép xây dựng; thi công hạ tầng từ ngày 01/10/2026, hoàn thành tháng 8/2027, bàn giao đất cho nhà đầu tư thứ cấp từ Quý II/2027.</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Còn 02 hộ chưa bàn giao mặt bằng, phụ thuộc khu tái định cư của xã; hai tuyến đường kết nối từ nút giao IC18 và Quốc lộ 4E (390 tỷ đồng) chưa khởi công. Nguyên nhân: hạ tầng tái định cư, giao thông đầu tư bằng ngân sách chưa đồng bộ với tiến độ của cụm. Trách nhiệm: Ủy ban nhân dân xã Gia Phú về khu tái định cư và 02 hộ còn lại; Sở Xây dựng, Sở Tài chính về hai tuyến đường. Tiến độ: theo Thông báo số 181/TB-VPUBND ngày 08/10/2026, hoàn thành khu tái định cư, bàn giao mặt bằng còn lại và khởi công hai tuyến đường trong Quý IV/2026.</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Ủy ban nhân dân xã Gia Phú hoàn thành khu tái định cư, bàn giao 02 hộ còn lại; Sở Xây dựng, Sở Tài chính hoàn thiện thủ tục để khởi công hai tuyến đường kết nối trong Quý IV/2026; chủ đầu tư thi công đúng tiến độ hạ tầng.</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Đảng ủy xã Gia Phú lãnh đạo vận động 02 hộ còn lại bàn giao mặt bằng; Đảng đoàn Hội đồng nhân dân tỉnh thống nhất bố trí đủ vốn (390 tỷ đồng) cho hai tuyến đường kết nối từ nút giao IC18 và Quốc lộ 4E để cụm bàn giao đất cho nhà đầu tư thứ cấp từ Quý II/2027.</w:t>
      </w:r>
    </w:p>
    <w:p>
      <w:pPr>
        <w:keepNext/>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6. Cụm công nghiệp Khánh Yên Thượng (xã Văn Bàn)</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Ủy ban nhân dân xã Văn Bàn quản lý, hạ tầng đầu tư bằng ngân sách; thành lập tại Quyết định số 2971/QĐ-UBND ngày 09/9/2016, diện tích 5,17 ha, Quy hoạch tỉnh điều chỉnh lên 17,17 ha; lấp đầy 35% với 01 dự án gạch không nung của Hợp tác xã Mường Thát. Dự án Nhà máy sản xuất giày da xuất khẩu (Công ty TNHH Công nghiệp Văn Bảo, vốn nước ngoài) đã được chấp thuận chủ trương đầu tư tại Quyết định số 2428/QĐ-UBND ngày 14/7/2026, điều chỉnh tại Quyết định số 3319/QĐ-UBND ngày 15/9/2026, dự kiến sử dụng nhiều lao động địa phương.</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Quỹ đất còn lại nhỏ, phải mở rộng cụm mới tiếp nhận được dự án mới; cụm chưa có hệ thống xử lý nước thải tập trung nên chưa đủ điều kiện mở rộng theo khoản 2 Điều 8 Nghị định số 32/2024/NĐ-CP (sửa đổi tại Nghị định số 303/2026/NĐ-CP). Nguyên nhân: cụm cấp xã quy mô nhỏ, hạ tầng ngân sách chưa hoàn thiện. Trách nhiệm: Ủy ban nhân dân xã Văn Bàn về hồ sơ mở rộng; Sở Tài chính về vốn xử lý nước thải. Tiến độ hoàn thành: lập hồ sơ mở rộng trong Quý IV/2026; bố trí vốn xử lý nước thải trong kế hoạch đầu tư công trung hạn 2026 - 2030.</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Ủy ban nhân dân xã Văn Bàn phối hợp nhà đầu tư xác định nhu cầu thuê đất, lập hồ sơ mở rộng cụm; Sở Công Thương thẩm định để Ủy ban nhân dân tỉnh quyết định mở rộng lên 17,17 ha theo Quy hoạch tỉnh; Sở Nông nghiệp và Môi trường, Sở Xây dựng hỗ trợ Công ty TNHH Công nghiệp Văn Bảo hoàn thành thủ tục; Sở Tài chính tổng hợp nhu cầu vốn đầu tư hệ thống xử lý nước thải tập trung.</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Thống nhất chủ trương mở rộng Cụm công nghiệp Khánh Yên Thượng và đầu tư hệ thống xử lý nước thải tập trung bằng ngân sách để đón dự án có vốn nước ngoài; Đảng đoàn Hội đồng nhân dân tỉnh bố trí vốn trong kế hoạch đầu tư công trung hạn 2026 - 2030; Đảng ủy xã Văn Bàn lãnh đạo giải phóng mặt bằng phần mở rộng.</w:t>
      </w:r>
    </w:p>
    <w:p>
      <w:pPr>
        <w:keepNext/>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7. Dự án khai thác quặng sắt mỏ Quý Xa (xã Văn Bàn)</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a) Giới thiệu dự án: </w:t>
      </w:r>
      <w:r>
        <w:rPr>
          <w:rFonts w:ascii="Times New Roman" w:hAnsi="Times New Roman" w:eastAsia="Times New Roman" w:cs="Times New Roman"/>
          <w:sz w:val="28"/>
          <w:szCs w:val="28"/>
        </w:rPr>
        <w:t xml:space="preserve">Chủ đầu tư: Công ty cổ phần Khai thác và Chế biến Kim loại Thủ Đô; chủ trương đầu tư tại Quyết định số 1658/QĐ-UBND ngày 12/5/2026; báo cáo đánh giá tác động môi trường được phê duyệt tại Quyết định số 2427/QĐ-BNNMT ngày 26/6/2026; Giấy phép khai thác khoáng sản số 199/GP-BNNMT ngày 14/7/2026; thuê đất tại Quyết định số 520/QĐ-UBND ngày 30/7/2026 của Ủy ban nhân dân xã Văn Bàn; Giấy phép môi trường số 3216/GPMT-UBND ngày 08/9/2026; công suất tối đa 5 triệu tấn quặng nguyên khai/năm, thời hạn 15 năm 8 tháng; cung cấp quặng cho Nhà máy Gang thép Lào Cai. Dự án bảo đảm nguồn nguyên liệu ổn định, lâu dài cho sản xuất gang thép, tạo việc làm và nguồn thu ngân sách lớn cho tỉnh.</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Đến nay: Công ty đã nộp tiền cấp quyền khai thác khoáng sản, khởi công xây dựng cơ bản mỏ ngày 15/8/2026, đăng ký ngày bắt đầu khai thác từ ngày 01/9/2026; vừa xây dựng cơ bản giai đoạn tiếp theo vừa khai thác: quặng limonit nguyên khai tháng 8/2026 đạt 25.000 tấn, tháng 9/2026 đạt 217.000 tấn, đến ngày 15/10/2026 đạt 286.000 tấn; bán hàng tháng 9/2026 đạt 92.000 tấn, đến ngày 15/10/2026 đạt 118.000 tấn (Báo cáo tháng 10/2026 của Công ty cổ phần Khai thác và Chế biến Kim loại Thủ Đô); chưa hoàn thành thủ tục hợp phần nhà máy tuyển quặng deluvi.</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b) Khó khăn, vướng mắc, nguyên nhân, trách nhiệm và tiến độ hoàn thành: </w:t>
      </w:r>
      <w:r>
        <w:rPr>
          <w:rFonts w:ascii="Times New Roman" w:hAnsi="Times New Roman" w:eastAsia="Times New Roman" w:cs="Times New Roman"/>
          <w:sz w:val="28"/>
          <w:szCs w:val="28"/>
        </w:rPr>
        <w:t xml:space="preserve">Vận chuyển 5 triệu tấn/năm ra nút giao IC16 phải qua cầu Khe Lếch mặt cầu hẹp, tuyến đường về Nhà máy Gang thép Lào Cai thường xuyên sạt lở; gần 70 hộ dân, đơn vị thuộc thôn Tam Đỉnh, Khe Phàn đang dùng mạch nước tự chảy trong khu vực xưởng nghiền (trước đây cấp phép cho Công ty VTM), Công ty đang xin cấp phép khai thác, sử dụng nước mặt, tuyến ống của dân nằm rải rác trong mặt bằng, việc ra vào sửa ống nước tiềm ẩn mất an toàn, phương án dùng chung chưa thống nhất; 05 hộ dân thường xuyên đi qua đường vận tải nội mỏ, xã và Công ty đang tìm tuyến đường đi riêng nhưng chưa xác định được; khoảng 8.500 tấn quặng còn lại của Công ty VTM thu gom tại kho bãi, rãnh thoát nước, hồ lắng (5.000 - 7.000 tấn nằm gần xưởng nghiền, cần di chuyển để mở rộng kho, khu sản xuất) chưa được cơ quan có thẩm quyền cho phép vận chuyển, sử dụng; Công ty đã đề nghị tài trợ xây dựng cầu Khe Lếch 2 (Văn bản số 58/2026/CV-TĐ ngày 06/10/2026), Ủy ban nhân dân tỉnh đã giao các sở nghiên cứu, tham mưu (Văn bản số 10540/UBND-XD ngày 14/10/2026) (Báo cáo tháng 10/2026 của Công ty cổ phần Khai thác và Chế biến Kim loại Thủ Đô). Nguyên nhân: hạ tầng giao thông khu vực được đầu tư theo công suất mỏ trước đây; công trình cấp nước, đường dân sinh của các hộ hình thành trong thời gian Công ty VTM dừng hoạt động. Trách nhiệm: Sở Xây dựng về phương án vận chuyển, cầu đường và đề xuất tài trợ cầu Khe Lếch 2; Sở Nông nghiệp và Môi trường về giấy phép nước mặt, cấp nước cho dân và hướng dẫn xử lý khối lượng quặng còn lại của Công ty VTM; Ủy ban nhân dân xã Văn Bàn về đường dân sinh, an ninh trật tự; Công ty về chấp hành tải trọng, quản lý nguyên trạng số quặng thu gom và phối hợp giải quyết nước sinh hoạt. Tiến độ hoàn thành: các sở có ý kiến về đề xuất tài trợ cầu Khe Lếch 2 và phương án xử lý nước, quặng tồn trong tháng 11/2026.</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c) Hướng giải quyết: </w:t>
      </w:r>
      <w:r>
        <w:rPr>
          <w:rFonts w:ascii="Times New Roman" w:hAnsi="Times New Roman" w:eastAsia="Times New Roman" w:cs="Times New Roman"/>
          <w:sz w:val="28"/>
          <w:szCs w:val="28"/>
        </w:rPr>
        <w:t xml:space="preserve">Ủy ban nhân dân tỉnh chỉ đạo: Sở Xây dựng rà soát khả năng chịu tải cầu Khe Lếch, các điểm sạt lở trên tuyến vận chuyển, tham mưu về đề xuất tài trợ cầu Khe Lếch 2 và hướng dẫn Công ty lập phương án vận chuyển; Sở Nông nghiệp và Môi trường chủ trì với xã Văn Bàn giải quyết hồ sơ nước mặt, đề xuất phương án cấp nước sạch tập trung cho các hộ thôn Tam Đỉnh, Khe Phàn, hướng dẫn xác định hàm lượng và việc vận chuyển, sử dụng khối lượng quặng thu gom theo quy định; Ủy ban nhân dân xã Văn Bàn thống nhất tuyến đường đi riêng cho 05 hộ dân để Công ty hỗ trợ làm đường; Công ty hoàn thành thủ tục nhà máy tuyển quặng deluvi, giữ nguyên trạng số quặng thu gom trong thời gian chờ ý kiến.</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i/>
          <w:iCs/>
          <w:sz w:val="28"/>
          <w:szCs w:val="28"/>
        </w:rPr>
        <w:t xml:space="preserve">d) Kiến nghị Thường trực Tỉnh ủy chỉ đạo: </w:t>
      </w:r>
      <w:r>
        <w:rPr>
          <w:rFonts w:ascii="Times New Roman" w:hAnsi="Times New Roman" w:eastAsia="Times New Roman" w:cs="Times New Roman"/>
          <w:sz w:val="28"/>
          <w:szCs w:val="28"/>
        </w:rPr>
        <w:t xml:space="preserve">Thống nhất chủ trương tiếp nhận tài trợ xây dựng cầu Khe Lếch 2 và đầu tư nâng cấp tuyến đường vận chuyển quặng Quý Xa - Gang thép Lào Cai, Đảng đoàn Hội đồng nhân dân tỉnh bố trí vốn phần ngân sách; Thường trực Tỉnh ủy có ý kiến với Bộ Nông nghiệp và Môi trường hướng dẫn xử lý khối lượng quặng còn lại của Công ty VTM; Đảng ủy xã Văn Bàn lãnh đạo dân vận về nước sinh hoạt, đường dân sinh, bảo đảm an ninh trật tự khu vực mỏ.</w:t>
      </w:r>
    </w:p>
    <w:p>
      <w:pPr>
        <w:keepNext/>
        <w:spacing w:after="10" w:before="0" w:line="262"/>
        <w:ind w:firstLine="720"/>
        <w:jc w:val="both"/>
        <w:rPr>
          <w:rFonts w:ascii="Times New Roman" w:hAnsi="Times New Roman" w:eastAsia="Times New Roman" w:cs="Times New Roman"/>
        </w:rPr>
      </w:pPr>
      <w:r>
        <w:rPr>
          <w:rFonts w:ascii="Times New Roman" w:hAnsi="Times New Roman" w:eastAsia="Times New Roman" w:cs="Times New Roman"/>
          <w:b/>
          <w:bCs/>
          <w:sz w:val="28"/>
          <w:szCs w:val="28"/>
        </w:rPr>
        <w:t xml:space="preserve">II. ĐÁNH GIÁ CHUNG</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1. Kết quả đạt được: trong vòng 01 tháng, Ủy ban nhân dân tỉnh đã chấp thuận chủ trương đầu tư 05 khu công nghiệp mới; Khu công nghiệp Phú Xuân, Phú Xuân 1 khởi công sau gần 02 tháng kể từ ngày được chấp thuận; Ủy ban nhân dân tỉnh đã thành lập Ban Chỉ đạo, giao mốc bàn giao mặt bằng, khởi công cụ thể cho từng dự án; Cụm công nghiệp Thống Nhất 1 đã thi công hạ tầng; mỏ sắt Quý Xa đã khởi công và có sản phẩm, bảo đảm nguồn quặng cho Nhà máy Gang thép Lào Cai; cụm công nghiệp cấp xã bắt đầu thu hút được dự án có vốn nước ngoài.</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2. Tồn tại, hạn chế và nguyên nhân: giải phóng mặt bằng là khâu quyết định tiến độ nhưng mặt bằng sạch còn ít; khu tái định cư, cấp nước, giao thông ngoài hàng rào được lập sau khi chấp thuận chủ trương đầu tư nên chưa đồng bộ; lực lượng làm công tác bồi thường ở cấp xã sau sắp xếp đơn vị hành chính còn mỏng; một số chủ đầu tư chưa chủ động về vốn, nhân lực và chưa thực hiện song song các thủ tục; nguồn vốn đầu tư công trung hạn phụ thuộc thu tiền sử dụng đất. Ủy ban nhân dân tỉnh nhận thấy trách nhiệm trong việc chỉ đạo chưa quyết liệt, đồng bộ giữa các sở, ngành, địa phương và sẽ tập trung chỉ đạo khắc phục.</w:t>
      </w:r>
    </w:p>
    <w:p>
      <w:pPr>
        <w:spacing w:after="6"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3. Ủy ban nhân dân tỉnh sẽ chỉ đạo các sở, ngành, địa phương và chủ đầu tư thực hiện các nội dung tại mục I theo đúng mốc tiến độ; định kỳ hằng tháng báo cáo Thường trực Tỉnh ủy kết quả thực hiện. Số liệu về lao động, giá trị sản xuất công nghiệp, nộp ngân sách dự kiến của từng dự án và các nội dung chi tiết khác, Ủy ban nhân dân tỉnh đã giao chủ đầu tư, Ủy ban nhân dân các xã, phường chuẩn bị, báo cáo bổ sung tại buổi làm việc.</w:t>
      </w:r>
    </w:p>
    <w:p>
      <w:pPr>
        <w:keepNext/>
        <w:spacing w:after="280" w:before="0" w:line="262"/>
        <w:ind w:firstLine="720"/>
        <w:jc w:val="both"/>
        <w:rPr>
          <w:rFonts w:ascii="Times New Roman" w:hAnsi="Times New Roman" w:eastAsia="Times New Roman" w:cs="Times New Roman"/>
        </w:rPr>
      </w:pPr>
      <w:r>
        <w:rPr>
          <w:rFonts w:ascii="Times New Roman" w:hAnsi="Times New Roman" w:eastAsia="Times New Roman" w:cs="Times New Roman"/>
          <w:sz w:val="28"/>
          <w:szCs w:val="28"/>
        </w:rPr>
        <w:t xml:space="preserve">Ủy ban nhân dân tỉnh trân trọng báo cáo Thường trực Tỉnh ủy./.</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b/>
          <w:bCs/>
          <w:i/>
          <w:iCs/>
          <w:sz w:val="24"/>
          <w:szCs w:val="24"/>
        </w:rPr>
        <w:t xml:space="preserve">Nơi nhận:</w:t>
      </w:r>
      <w:r>
        <w:rPr>
          <w:rFonts w:ascii="Times New Roman" w:hAnsi="Times New Roman" w:eastAsia="Times New Roman" w:cs="Times New Roman"/>
          <w:b/>
          <w:bCs/>
          <w:sz w:val="28"/>
          <w:szCs w:val="28"/>
        </w:rPr>
        <w:t xml:space="preserve">	TM. ỦY BAN NHÂN DÂN</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Thường trực Tỉnh ủy (b/c);</w:t>
      </w:r>
      <w:r>
        <w:rPr>
          <w:rFonts w:ascii="Times New Roman" w:hAnsi="Times New Roman" w:eastAsia="Times New Roman" w:cs="Times New Roman"/>
          <w:b/>
          <w:bCs/>
          <w:sz w:val="28"/>
          <w:szCs w:val="28"/>
        </w:rPr>
        <w:t xml:space="preserve">	KT. CHỦ TỊCH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Văn phòng Tỉnh ủy;</w:t>
      </w:r>
      <w:r>
        <w:rPr>
          <w:rFonts w:ascii="Times New Roman" w:hAnsi="Times New Roman" w:eastAsia="Times New Roman" w:cs="Times New Roman"/>
          <w:b/>
          <w:bCs/>
          <w:sz w:val="28"/>
          <w:szCs w:val="28"/>
        </w:rPr>
        <w:t xml:space="preserve">	PHÓ CHỦ TỊCH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Chủ tịch, các Phó Chủ tịch Ủy ban nhân dân tỉnh;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Các Sở: Công Thương, Nông nghiệp và</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Môi trường, Xây dựng, Tài chính;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Ban Quản lý Khu kinh tế tỉnh;</w:t>
      </w:r>
    </w:p>
    <w:p>
      <w:pPr>
        <w:keepNext/>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Ban Quản lý các Khu công nghiệp tỉnh;</w:t>
      </w:r>
    </w:p>
    <w:p>
      <w:pPr>
        <w:keepNext w:val="false"/>
        <w:keepLines/>
        <w:tabs>
          <w:tab w:val="center" w:pos="6950"/>
        </w:tabs>
        <w:spacing w:after="0" w:before="0" w:line="250"/>
        <w:jc w:val="left"/>
        <w:rPr>
          <w:rFonts w:ascii="Times New Roman" w:hAnsi="Times New Roman" w:eastAsia="Times New Roman" w:cs="Times New Roman"/>
        </w:rPr>
      </w:pPr>
      <w:r>
        <w:rPr>
          <w:rFonts w:ascii="Times New Roman" w:hAnsi="Times New Roman" w:eastAsia="Times New Roman" w:cs="Times New Roman"/>
          <w:sz w:val="22"/>
          <w:szCs w:val="22"/>
        </w:rPr>
        <w:t xml:space="preserve">- Lưu: VT, KT.</w:t>
      </w:r>
      <w:r>
        <w:rPr>
          <w:rFonts w:ascii="Times New Roman" w:hAnsi="Times New Roman" w:eastAsia="Times New Roman" w:cs="Times New Roman"/>
          <w:b/>
          <w:bCs/>
          <w:sz w:val="28"/>
          <w:szCs w:val="28"/>
        </w:rPr>
        <w:t xml:space="preserve">	Phan Trung Bá</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rPr>
          <w:rFonts w:ascii="Times New Roman" w:hAnsi="Times New Roman" w:eastAsia="Times New Roman" w:cs="Times New Roman"/>
        </w:rPr>
      </w:pPr>
      <w:r>
        <w:rPr>
          <w:rStyle w:val="EndnoteReference"/>
          <w:rFonts w:ascii="Times New Roman" w:hAnsi="Times New Roman" w:eastAsia="Times New Roman" w:cs="Times New Roman"/>
        </w:rPr>
        <w:endnoteRef/>
      </w:r>
      <w:r>
        <w:rPr>
          <w:rFonts w:ascii="Times New Roman" w:hAnsi="Times New Roman" w:eastAsia="Times New Roman" w:cs="Times New Roman"/>
        </w:rPr>
        <w:separator/>
      </w:r>
    </w:p>
  </w:endnote>
  <w:endnote w:type="continuationSeparator" w:id="0">
    <w:p>
      <w:pPr>
        <w:spacing w:after="0" w:line="240" w:lineRule="auto"/>
        <w:rPr>
          <w:rFonts w:ascii="Times New Roman" w:hAnsi="Times New Roman" w:eastAsia="Times New Roman" w:cs="Times New Roman"/>
        </w:rPr>
      </w:pPr>
      <w:r>
        <w:rPr>
          <w:rStyle w:val="EndnoteReference"/>
          <w:rFonts w:ascii="Times New Roman" w:hAnsi="Times New Roman" w:eastAsia="Times New Roman" w:cs="Times New Roman"/>
        </w:rPr>
        <w:endnoteRef/>
      </w:r>
      <w:r>
        <w:rPr>
          <w:rFonts w:ascii="Times New Roman" w:hAnsi="Times New Roman" w:eastAsia="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rPr>
          <w:rFonts w:ascii="Times New Roman" w:hAnsi="Times New Roman" w:eastAsia="Times New Roman" w:cs="Times New Roman"/>
        </w:rPr>
      </w:pPr>
      <w:r>
        <w:rPr>
          <w:rStyle w:val="FootnoteReference"/>
          <w:rFonts w:ascii="Times New Roman" w:hAnsi="Times New Roman" w:eastAsia="Times New Roman" w:cs="Times New Roman"/>
        </w:rPr>
        <w:footnoteRef/>
      </w:r>
      <w:r>
        <w:rPr>
          <w:rFonts w:ascii="Times New Roman" w:hAnsi="Times New Roman" w:eastAsia="Times New Roman" w:cs="Times New Roman"/>
        </w:rPr>
        <w:separator/>
      </w:r>
    </w:p>
  </w:footnote>
  <w:footnote w:type="continuationSeparator" w:id="0">
    <w:p>
      <w:pPr>
        <w:spacing w:after="0" w:line="240" w:lineRule="auto"/>
        <w:rPr>
          <w:rFonts w:ascii="Times New Roman" w:hAnsi="Times New Roman" w:eastAsia="Times New Roman" w:cs="Times New Roman"/>
        </w:rPr>
      </w:pPr>
      <w:r>
        <w:rPr>
          <w:rStyle w:val="FootnoteReference"/>
          <w:rFonts w:ascii="Times New Roman" w:hAnsi="Times New Roman" w:eastAsia="Times New Roman" w:cs="Times New Roman"/>
        </w:rPr>
        <w:footnoteRef/>
      </w:r>
      <w:r>
        <w:rPr>
          <w:rFonts w:ascii="Times New Roman" w:hAnsi="Times New Roman" w:eastAsia="Times New Roman" w:cs="Times New Roman"/>
        </w:rP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2026-10-17T09:51:29.173Z</dcterms:created>
  <dcterms:modified xsi:type="dcterms:W3CDTF">2026-10-17T09:51:29.173Z</dcterms:modified>
</cp:coreProperties>
</file>

<file path=docProps/custom.xml><?xml version="1.0" encoding="utf-8"?>
<Properties xmlns="http://schemas.openxmlformats.org/officeDocument/2006/custom-properties" xmlns:vt="http://schemas.openxmlformats.org/officeDocument/2006/docPropsVTypes"/>
</file>