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rPr>
          <w:rFonts w:ascii="Times New Roman" w:hAnsi="Times New Roman" w:eastAsia="Times New Roman" w:cs="Times New Roman"/>
        </w:rPr>
      </w:pPr>
      <w:r>
        <w:rPr>
          <w:rFonts w:ascii="Times New Roman" w:hAnsi="Times New Roman" w:eastAsia="Times New Roman" w:cs="Times New Roman"/>
          <w:b/>
          <w:i w:val="0"/>
          <w:sz w:val="26"/>
        </w:rPr>
        <w:t>SỞ CÔNG THƯƠNG TỈNH LÀO CAI</w:t>
      </w:r>
    </w:p>
    <w:p>
      <w:pPr>
        <w:jc w:val="center"/>
        <w:rPr>
          <w:rFonts w:ascii="Times New Roman" w:hAnsi="Times New Roman" w:eastAsia="Times New Roman" w:cs="Times New Roman"/>
        </w:rPr>
      </w:pPr>
      <w:r>
        <w:rPr>
          <w:rFonts w:ascii="Times New Roman" w:hAnsi="Times New Roman" w:eastAsia="Times New Roman" w:cs="Times New Roman"/>
          <w:b/>
          <w:i w:val="0"/>
          <w:sz w:val="26"/>
        </w:rPr>
        <w:t>PHÒNG QUẢN LÝ CÔNG NGHIỆP</w:t>
      </w:r>
    </w:p>
    <w:p>
      <w:pPr>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r>
    </w:p>
    <w:p>
      <w:pPr>
        <w:jc w:val="center"/>
        <w:rPr>
          <w:rFonts w:ascii="Times New Roman" w:hAnsi="Times New Roman" w:eastAsia="Times New Roman" w:cs="Times New Roman"/>
        </w:rPr>
      </w:pPr>
      <w:r>
        <w:rPr>
          <w:rFonts w:ascii="Times New Roman" w:hAnsi="Times New Roman" w:eastAsia="Times New Roman" w:cs="Times New Roman"/>
          <w:b/>
          <w:i w:val="0"/>
          <w:sz w:val="28"/>
        </w:rPr>
        <w:t>PHIẾU ĐỀ NGHỊ PHỐI HỢP CUNG CẤP THÔNG TIN</w:t>
      </w:r>
    </w:p>
    <w:p>
      <w:pPr>
        <w:jc w:val="center"/>
        <w:rPr>
          <w:rFonts w:ascii="Times New Roman" w:hAnsi="Times New Roman" w:eastAsia="Times New Roman" w:cs="Times New Roman"/>
        </w:rPr>
      </w:pPr>
      <w:r>
        <w:rPr>
          <w:rFonts w:ascii="Times New Roman" w:hAnsi="Times New Roman" w:eastAsia="Times New Roman" w:cs="Times New Roman"/>
          <w:b w:val="0"/>
          <w:i/>
          <w:sz w:val="28"/>
        </w:rPr>
        <w:t>Phục vụ báo cáo Thường trực Tỉnh ủy theo Chương trình số 130-CTr/TU ngày 16/10/2026 và báo cáo làm việc với Thường trực Tỉnh ủy của Sở</w:t>
      </w:r>
    </w:p>
    <w:p>
      <w:pPr>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r>
    </w:p>
    <w:p>
      <w:pPr>
        <w:jc w:val="center"/>
        <w:rPr>
          <w:rFonts w:ascii="Times New Roman" w:hAnsi="Times New Roman" w:eastAsia="Times New Roman" w:cs="Times New Roman"/>
        </w:rPr>
      </w:pPr>
      <w:r>
        <w:rPr>
          <w:rFonts w:ascii="Times New Roman" w:hAnsi="Times New Roman" w:eastAsia="Times New Roman" w:cs="Times New Roman"/>
          <w:b/>
          <w:i w:val="0"/>
          <w:sz w:val="28"/>
        </w:rPr>
        <w:t>Kính gửi: Phòng Quản lý Khoáng sản; Phòng Quản lý Năng lượng.</w:t>
      </w:r>
    </w:p>
    <w:p>
      <w:pPr>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r>
    </w:p>
    <w:p>
      <w:pPr>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Thực hiện ý kiến chỉ đạo của Giám đốc Sở (nộp tài liệu trước 9 giờ 00 ngày 19/10/2026), Phòng Quản lý công nghiệp đã dự thảo 02 tài liệu: (1) Tài liệu chuẩn bị đón đoàn công tác Tỉnh ủy - 07 dự án phiên ngày 19/10/2026 theo mẫu của Giám đốc Sở; (2) Báo cáo kết quả thực hiện nhiệm vụ từ ngày 01/7/2025 đến ngày 15/10/2026 và kế hoạch giai đoạn 2026 - 2030 của Sở (kèm 03 phụ lục, 01 phụ biểu). Phòng Quản lý Năng lượng đã gửi bổ sung phương án cấp điện ngày 18/10/2026, Phòng Quản lý công nghiệp đã đưa vào cả 02 tài liệu.</w:t>
      </w:r>
    </w:p>
    <w:p>
      <w:pPr>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Các nội dung còn thiếu thông tin đã được bôi tím trong 02 tài liệu. Đề nghị hai Phòng cung cấp (bằng văn bản hoặc gửi trực tiếp vào file, ghi rõ nguồn số liệu, mốc thời gian) chậm nhất 8 giờ 00 ngày 19/10/2026 để Phòng Quản lý công nghiệp tổng hợp, trình Giám đốc Sở đúng hạn. Cụ thể:</w:t>
      </w:r>
    </w:p>
    <w:p>
      <w:pPr>
        <w:ind w:firstLine="567"/>
        <w:jc w:val="both"/>
        <w:rPr>
          <w:rFonts w:ascii="Times New Roman" w:hAnsi="Times New Roman" w:eastAsia="Times New Roman" w:cs="Times New Roman"/>
        </w:rPr>
      </w:pPr>
      <w:r>
        <w:rPr>
          <w:rFonts w:ascii="Times New Roman" w:hAnsi="Times New Roman" w:eastAsia="Times New Roman" w:cs="Times New Roman"/>
          <w:b/>
          <w:i w:val="0"/>
          <w:sz w:val="28"/>
        </w:rPr>
        <w:t>I. Phòng Quản lý Khoáng sản</w:t>
      </w:r>
    </w:p>
    <w:tbl>
      <w:tblPr>
        <w:tblStyle w:val="TableGrid"/>
        <w:tblW w:type="auto" w:w="0"/>
        <w:jc w:val="center"/>
        <w:tblLayout w:type="fixed"/>
        <w:tblLook w:firstColumn="1" w:firstRow="1" w:lastColumn="0" w:lastRow="0" w:noHBand="0" w:noVBand="1" w:val="04A0"/>
        <w:tblLayout w:type="fixed"/>
      </w:tblPr>
      <w:tblGrid>
        <w:gridCol w:w="510"/>
        <w:gridCol w:w="4309"/>
        <w:gridCol w:w="2438"/>
        <w:gridCol w:w="1814"/>
      </w:tblGrid>
      <w:tr>
        <w:tc>
          <w:tcPr>
            <w:tcW w:type="dxa" w:w="510"/>
          </w:tcPr>
          <w:p>
            <w:pPr>
              <w:jc w:val="center"/>
              <w:rPr>
                <w:rFonts w:ascii="Times New Roman" w:hAnsi="Times New Roman" w:eastAsia="Times New Roman" w:cs="Times New Roman"/>
              </w:rPr>
            </w:pPr>
            <w:r>
              <w:rPr>
                <w:rFonts w:ascii="Times New Roman" w:hAnsi="Times New Roman" w:eastAsia="Times New Roman" w:cs="Times New Roman"/>
                <w:b/>
                <w:sz w:val="24"/>
              </w:rPr>
              <w:t>TT</w:t>
            </w:r>
          </w:p>
        </w:tc>
        <w:tc>
          <w:tcPr>
            <w:tcW w:type="dxa" w:w="4309"/>
          </w:tcPr>
          <w:p>
            <w:pPr>
              <w:jc w:val="center"/>
              <w:rPr>
                <w:rFonts w:ascii="Times New Roman" w:hAnsi="Times New Roman" w:eastAsia="Times New Roman" w:cs="Times New Roman"/>
              </w:rPr>
            </w:pPr>
            <w:r>
              <w:rPr>
                <w:rFonts w:ascii="Times New Roman" w:hAnsi="Times New Roman" w:eastAsia="Times New Roman" w:cs="Times New Roman"/>
                <w:b/>
                <w:sz w:val="24"/>
              </w:rPr>
              <w:t>Nội dung cần cung cấp</w:t>
            </w:r>
          </w:p>
        </w:tc>
        <w:tc>
          <w:tcPr>
            <w:tcW w:type="dxa" w:w="2438"/>
          </w:tcPr>
          <w:p>
            <w:pPr>
              <w:jc w:val="center"/>
              <w:rPr>
                <w:rFonts w:ascii="Times New Roman" w:hAnsi="Times New Roman" w:eastAsia="Times New Roman" w:cs="Times New Roman"/>
              </w:rPr>
            </w:pPr>
            <w:r>
              <w:rPr>
                <w:rFonts w:ascii="Times New Roman" w:hAnsi="Times New Roman" w:eastAsia="Times New Roman" w:cs="Times New Roman"/>
                <w:b/>
                <w:sz w:val="24"/>
              </w:rPr>
              <w:t>Vị trí trong tài liệu</w:t>
            </w:r>
          </w:p>
        </w:tc>
        <w:tc>
          <w:tcPr>
            <w:tcW w:type="dxa" w:w="1814"/>
          </w:tcPr>
          <w:p>
            <w:pPr>
              <w:jc w:val="center"/>
              <w:rPr>
                <w:rFonts w:ascii="Times New Roman" w:hAnsi="Times New Roman" w:eastAsia="Times New Roman" w:cs="Times New Roman"/>
              </w:rPr>
            </w:pPr>
            <w:r>
              <w:rPr>
                <w:rFonts w:ascii="Times New Roman" w:hAnsi="Times New Roman" w:eastAsia="Times New Roman" w:cs="Times New Roman"/>
                <w:b/>
                <w:sz w:val="24"/>
              </w:rPr>
              <w:t>Nguồn, ghi chú</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1</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Mỏ sắt Quý Xa: xác nhận sản lượng quặng nguyên khai, sản lượng bán hàng đến ngày 15/10/2026; giá trị sản xuất công nghiệp, nộp ngân sách, lao động dự kiến của dự án.</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Tài liệu 07 dự án, mục II.7; Báo cáo Sở, mục B.II.3</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tháng 10/2026 của Công ty Kim loại Thủ Đô; số liệu Phòng theo dõi</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2</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Mỏ sắt Quý Xa: thẩm quyền và căn cứ xử lý khoảng 8.500 tấn quặng tồn của Công ty VTM tại kho K21, nền bãi, hồ lắng (tỉnh hay Bộ Nông nghiệp và Môi trường); hướng tham mưu của Phòng.</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Tài liệu 07 dự án, mục II.7 (Xử lý quặng tồn kho)</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Văn bản số 1889/UBND-KT ngày 09/4/2025; quy định về khoáng sản</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3</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Mỏ sắt Quý Xa: hồ sơ hợp phần nhà máy tuyển quặng deluvi đang ở bước nào, cơ quan thụ lý, vướng mắc, dự kiến thời điểm hoàn thành thẩm định.</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Tài liệu 07 dự án, mục II.7</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Hồ sơ Công ty nộp tại Phòng</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4</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Khu công nghiệp Võ Lao: dự án khai thác apatit của Công ty cổ phần Phân lân nung chảy Lào Cai (nguồn nguyên liệu khoảng 2 triệu tấn/năm cho chế biến sâu) đang ở bước nào, cơ quan cấp phép, dự kiến thời điểm có quặng.</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Tài liệu 07 dự án, mục II.2 (Về thu hồi khoáng sản)</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Hồ sơ dự án; ý kiến Bộ Nông nghiệp và Môi trường</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5</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Nhà máy tuyển quặng apatit nghèo 200.000 tấn/năm (Công ty Anh Nhẫn Lào Cai): nguồn quặng nghèo đầu vào và thủ tục khoáng sản liên quan.</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B.III.2.1, dự án (6)</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6</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Rà soát, cập nhật toàn bộ mục 1.2 Tình hình hoạt động khoáng sản đến ngày 15/10/2026 (apatit: khai trường hoạt động, tạm dừng; đồng; sắt: số mỏ hoạt động đã gồm Quý Xa chưa, tình trạng 08/09 nhà máy tuyển sắt; graphit; đất hiếm; đá hoa trắng; vật liệu xây dựng thông thường) và bổ sung sản lượng khai thác 9 tháng năm 2026 các khoáng sản chính so với cùng kỳ, kế hoạch.</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B.III.1.2</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Số liệu Phòng, Cục Thống kê, báo cáo doanh nghiệp</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7</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Số hồ sơ đã thẩm định, số văn bản tham gia ý kiến về khoáng sản từ ngày 15/9/2026 đến ngày 15/10/2026; các vị trí chồng lấn quy hoạch khoáng sản với khu, cụm công nghiệp, thủy điện đã kiến nghị điều chỉnh.</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B.I.1 (Quy hoạch khoáng sản)</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Sổ theo dõi văn bản của Phòng</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8</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Đất hiếm Bến Đền (Công ty cổ phần Công nghiệp Khánh An): số giấy phép, ngày cấp, công suất, thời hạn; các dự án khoáng sản khác được cấp phép, chấp thuận chủ trương đầu tư từ ngày 01/7/2025 đến ngày 15/10/2026.</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B.II.2 (Khoáng sản)</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Giấy phép của Bộ Nông nghiệp và Môi trường</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9</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Mỏ graphit Yên Thái (Công ty cổ phần Tập đoàn Graphit Việt Nam): số nợ ngân sách chính xác theo cơ quan thuế; phương án xử lý (gia hạn, thu hồi giấy phép, tìm nhà đầu tư mới) để Giám đốc trả lời tại phiên ngày 21/10/2026.</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B.II.3 (khu vực Yên Bái)</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Thuế tỉnh; hồ sơ giấy phép</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10</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Vướng mắc mới phát sinh sau khi tiếp nhận chức năng khoáng sản (hồ sơ gia hạn, cấp lại giấy phép tồn đọng; nhân lực của Phòng) và giải pháp cụ thể Quý IV/2026 về khoáng sản (đưa khai trường nào vào khai thác, xử lý nhà máy tuyển sắt dừng hoạt động, thu hồi khoáng sản trong thi công các khu công nghiệp theo Văn bản số 6452/SCT-KS ngày 09/10/2026).</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B.IV.3.2.a và B.V.3.2</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Đề nghị gửi kèm Văn bản số 6452/SCT-KS (Phòng Quản lý công nghiệp chưa có bản này)</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11</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Số nộp ngân sách 9 tháng năm 2026 của các doanh nghiệp khoáng sản (nếu có số liệu từ cơ quan thuế).</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B.I.5</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Thuế tỉnh</w:t>
            </w:r>
          </w:p>
        </w:tc>
      </w:tr>
    </w:tbl>
    <w:p/>
    <w:p>
      <w:pPr>
        <w:ind w:firstLine="567"/>
        <w:jc w:val="both"/>
        <w:rPr>
          <w:rFonts w:ascii="Times New Roman" w:hAnsi="Times New Roman" w:eastAsia="Times New Roman" w:cs="Times New Roman"/>
        </w:rPr>
      </w:pPr>
      <w:r>
        <w:rPr>
          <w:rFonts w:ascii="Times New Roman" w:hAnsi="Times New Roman" w:eastAsia="Times New Roman" w:cs="Times New Roman"/>
          <w:b/>
          <w:i w:val="0"/>
          <w:sz w:val="28"/>
        </w:rPr>
        <w:t>II. Phòng Quản lý Năng lượng</w:t>
      </w:r>
    </w:p>
    <w:tbl>
      <w:tblPr>
        <w:tblStyle w:val="TableGrid"/>
        <w:tblW w:type="auto" w:w="0"/>
        <w:jc w:val="center"/>
        <w:tblLayout w:type="fixed"/>
        <w:tblLook w:firstColumn="1" w:firstRow="1" w:lastColumn="0" w:lastRow="0" w:noHBand="0" w:noVBand="1" w:val="04A0"/>
        <w:tblLayout w:type="fixed"/>
      </w:tblPr>
      <w:tblGrid>
        <w:gridCol w:w="510"/>
        <w:gridCol w:w="4309"/>
        <w:gridCol w:w="2438"/>
        <w:gridCol w:w="1814"/>
      </w:tblGrid>
      <w:tr>
        <w:tc>
          <w:tcPr>
            <w:tcW w:type="dxa" w:w="510"/>
          </w:tcPr>
          <w:p>
            <w:pPr>
              <w:jc w:val="center"/>
              <w:rPr>
                <w:rFonts w:ascii="Times New Roman" w:hAnsi="Times New Roman" w:eastAsia="Times New Roman" w:cs="Times New Roman"/>
              </w:rPr>
            </w:pPr>
            <w:r>
              <w:rPr>
                <w:rFonts w:ascii="Times New Roman" w:hAnsi="Times New Roman" w:eastAsia="Times New Roman" w:cs="Times New Roman"/>
                <w:b/>
                <w:sz w:val="24"/>
              </w:rPr>
              <w:t>TT</w:t>
            </w:r>
          </w:p>
        </w:tc>
        <w:tc>
          <w:tcPr>
            <w:tcW w:type="dxa" w:w="4309"/>
          </w:tcPr>
          <w:p>
            <w:pPr>
              <w:jc w:val="center"/>
              <w:rPr>
                <w:rFonts w:ascii="Times New Roman" w:hAnsi="Times New Roman" w:eastAsia="Times New Roman" w:cs="Times New Roman"/>
              </w:rPr>
            </w:pPr>
            <w:r>
              <w:rPr>
                <w:rFonts w:ascii="Times New Roman" w:hAnsi="Times New Roman" w:eastAsia="Times New Roman" w:cs="Times New Roman"/>
                <w:b/>
                <w:sz w:val="24"/>
              </w:rPr>
              <w:t>Nội dung cần cung cấp</w:t>
            </w:r>
          </w:p>
        </w:tc>
        <w:tc>
          <w:tcPr>
            <w:tcW w:type="dxa" w:w="2438"/>
          </w:tcPr>
          <w:p>
            <w:pPr>
              <w:jc w:val="center"/>
              <w:rPr>
                <w:rFonts w:ascii="Times New Roman" w:hAnsi="Times New Roman" w:eastAsia="Times New Roman" w:cs="Times New Roman"/>
              </w:rPr>
            </w:pPr>
            <w:r>
              <w:rPr>
                <w:rFonts w:ascii="Times New Roman" w:hAnsi="Times New Roman" w:eastAsia="Times New Roman" w:cs="Times New Roman"/>
                <w:b/>
                <w:sz w:val="24"/>
              </w:rPr>
              <w:t>Vị trí trong tài liệu</w:t>
            </w:r>
          </w:p>
        </w:tc>
        <w:tc>
          <w:tcPr>
            <w:tcW w:type="dxa" w:w="1814"/>
          </w:tcPr>
          <w:p>
            <w:pPr>
              <w:jc w:val="center"/>
              <w:rPr>
                <w:rFonts w:ascii="Times New Roman" w:hAnsi="Times New Roman" w:eastAsia="Times New Roman" w:cs="Times New Roman"/>
              </w:rPr>
            </w:pPr>
            <w:r>
              <w:rPr>
                <w:rFonts w:ascii="Times New Roman" w:hAnsi="Times New Roman" w:eastAsia="Times New Roman" w:cs="Times New Roman"/>
                <w:b/>
                <w:sz w:val="24"/>
              </w:rPr>
              <w:t>Nguồn, ghi chú</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1</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Thống nhất số trạm biến áp 110 kV: số liệu Phòng gửi ngày 18/10/2026 là 19 trạm/31 máy/1.577 MVA; dự thảo báo cáo cũ ghi 18 trạm/1.640 MVA. Xác nhận Trạm biến áp 110 kV Nam Thành phố (1x40 MVA) có phải là trạm tại xã Gia Phú mà Phòng Quản lý công nghiệp đã ghi là "Trạm 110 kV Lào Cai 3" trong các bản trước không, để thống nhất tên gọi.</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B.III.1.3; Tài liệu 07 dự án, mục I.3, II.3</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Số liệu Công ty Điện lực Lào Cai</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2</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Thống nhất một con số tỷ lệ hộ được sử dụng điện lưới quốc gia kèm mốc thời gian (dự thảo đang có 98,6% tại mục III.1.1; 96,8% đến hết tháng 9/2026 tại mục III.1.3; 94,5% "hộ dùng điện an toàn" tại Phụ lục 01).</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B.III.1.1, 1.3; Phụ lục 01</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3</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05 dự án trọng điểm ngành năng lượng theo Quyết định số 2634/QĐ-TTg ngày 02/12/2025: tên, quy mô, chủ đầu tư, tiến độ. Tên 01 dự án lưới truyền tải của Tập đoàn Điện lực Việt Nam đang thi công và 03 dự án chuẩn bị đầu tư (nêu tại kiến nghị với Bộ Công Thương). Mốc hoàn thành dự kiến của 05 trạm biến áp đang xây dựng (220 kV Bát Xát, Lục Yên; 110 kV Âu Lâu, Bắc Hà, Bản Qua).</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B.III.1.3 và B.VI.1</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Quyết định số 2634/QĐ-TTg; kế hoạch của ngành điện</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4</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Thủy điện Hồ Bốn 2 (5 MW), Lán Bò (7,6 MW): tiến độ thực tế, khối lượng hoàn thành, thời điểm dự kiến hòa lưới; tình trạng 16 dự án (202,4 MW) đã chấp thuận chủ trương đầu tư nhưng chưa khởi công.</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B.III.1.3</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chủ đầu tư</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5</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Cấp điện nông thôn: danh mục dự án sử dụng vốn đầu tư công 83,345 tỷ đồng, giá trị giải ngân từng dự án, dự kiến giải ngân Quý IV/2026; mốc đóng điện cụ thể từng thôn (04 thôn Làng Mảnh, Lùng Cúng, Làng Giàng, Đá Đen và 12 thôn còn lại) và kết quả đến ngày 15/10/2026.</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B.I.4 và B.V.3.2</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Ban Quản lý dự án; Phòng Kế hoạch - Tài chính</w:t>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6</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Văn bản số 8151/BCT-ĐL ngày 07/10/2026 của Bộ Công Thương: thời hạn và nội dung chính dự kiến tham gia ý kiến; danh mục dự án đề nghị bổ sung quy hoạch (tên, công suất, địa điểm; khoảng 800 MW).</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B.I.1 (Quy hoạch năng lượng)</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7</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Vướng mắc cụ thể về giá điện, cơ chế đấu thầu lựa chọn nhà đầu tư thủy điện, tiến độ các dự án lưới điện của Tập đoàn Điện lực Việt Nam trên địa bàn.</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B.IV.3.2.a</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r>
          </w:p>
        </w:tc>
      </w:tr>
      <w:tr>
        <w:tc>
          <w:tcPr>
            <w:tcW w:type="dxa" w:w="510"/>
          </w:tcPr>
          <w:p>
            <w:pPr>
              <w:spacing w:after="0"/>
              <w:jc w:val="center"/>
              <w:rPr>
                <w:rFonts w:ascii="Times New Roman" w:hAnsi="Times New Roman" w:eastAsia="Times New Roman" w:cs="Times New Roman"/>
              </w:rPr>
            </w:pPr>
            <w:r>
              <w:rPr>
                <w:rFonts w:ascii="Times New Roman" w:hAnsi="Times New Roman" w:eastAsia="Times New Roman" w:cs="Times New Roman"/>
                <w:sz w:val="24"/>
              </w:rPr>
              <w:t>8</w:t>
            </w:r>
          </w:p>
        </w:tc>
        <w:tc>
          <w:tcPr>
            <w:tcW w:type="dxa" w:w="4309"/>
          </w:tcPr>
          <w:p>
            <w:pPr>
              <w:spacing w:after="0"/>
              <w:jc w:val="left"/>
              <w:rPr>
                <w:rFonts w:ascii="Times New Roman" w:hAnsi="Times New Roman" w:eastAsia="Times New Roman" w:cs="Times New Roman"/>
              </w:rPr>
            </w:pPr>
            <w:r>
              <w:rPr>
                <w:rFonts w:ascii="Times New Roman" w:hAnsi="Times New Roman" w:eastAsia="Times New Roman" w:cs="Times New Roman"/>
                <w:sz w:val="24"/>
              </w:rPr>
              <w:t>Số nộp ngân sách 9 tháng năm 2026 của các doanh nghiệp thủy điện (nếu có số liệu từ cơ quan thuế).</w:t>
            </w:r>
          </w:p>
        </w:tc>
        <w:tc>
          <w:tcPr>
            <w:tcW w:type="dxa" w:w="2438"/>
          </w:tcPr>
          <w:p>
            <w:pPr>
              <w:spacing w:after="0"/>
              <w:jc w:val="left"/>
              <w:rPr>
                <w:rFonts w:ascii="Times New Roman" w:hAnsi="Times New Roman" w:eastAsia="Times New Roman" w:cs="Times New Roman"/>
              </w:rPr>
            </w:pPr>
            <w:r>
              <w:rPr>
                <w:rFonts w:ascii="Times New Roman" w:hAnsi="Times New Roman" w:eastAsia="Times New Roman" w:cs="Times New Roman"/>
                <w:sz w:val="24"/>
              </w:rPr>
              <w:t>Báo cáo Sở, mục B.I.5</w:t>
            </w:r>
          </w:p>
        </w:tc>
        <w:tc>
          <w:tcPr>
            <w:tcW w:type="dxa" w:w="1814"/>
          </w:tcPr>
          <w:p>
            <w:pPr>
              <w:spacing w:after="0"/>
              <w:jc w:val="left"/>
              <w:rPr>
                <w:rFonts w:ascii="Times New Roman" w:hAnsi="Times New Roman" w:eastAsia="Times New Roman" w:cs="Times New Roman"/>
              </w:rPr>
            </w:pPr>
            <w:r>
              <w:rPr>
                <w:rFonts w:ascii="Times New Roman" w:hAnsi="Times New Roman" w:eastAsia="Times New Roman" w:cs="Times New Roman"/>
                <w:sz w:val="24"/>
              </w:rPr>
              <w:t>Thuế tỉnh</w:t>
            </w:r>
          </w:p>
        </w:tc>
      </w:tr>
    </w:tbl>
    <w:p/>
    <w:p>
      <w:pPr>
        <w:ind w:firstLine="567"/>
        <w:jc w:val="both"/>
        <w:rPr>
          <w:rFonts w:ascii="Times New Roman" w:hAnsi="Times New Roman" w:eastAsia="Times New Roman" w:cs="Times New Roman"/>
        </w:rPr>
      </w:pPr>
      <w:r>
        <w:rPr>
          <w:rFonts w:ascii="Times New Roman" w:hAnsi="Times New Roman" w:eastAsia="Times New Roman" w:cs="Times New Roman"/>
          <w:b/>
          <w:i w:val="0"/>
          <w:sz w:val="28"/>
        </w:rPr>
        <w:t>III. Nội dung Phòng Quản lý công nghiệp tự rà soát với Văn phòng Sở, Phòng Quản lý thương mại (để biết)</w:t>
      </w:r>
    </w:p>
    <w:p>
      <w:pPr>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Văn phòng Sở: thống nhất số biên chế của Sở (67/69 tại mục A.I.2 và 56/57 tại Phụ lục 03).</w:t>
      </w:r>
    </w:p>
    <w:p>
      <w:pPr>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Phòng Quản lý thương mại: thống nhất số liệu xuất nhập khẩu 9 tháng (2.993,05 triệu USD trong lời văn so với 2.855,25 triệu USD cộng theo Phụ biểu) và kịch bản Quý IV tổng mức bán lẻ (26.960 tỷ đồng trong lời văn so với 26.220 tỷ đồng tại Phụ biểu).</w:t>
      </w:r>
    </w:p>
    <w:p>
      <w:pPr>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 Các số liệu giá trị sản xuất công nghiệp, nộp ngân sách, lao động dự kiến của các Khu công nghiệp Võ Lao, Cam Đường, Bản Qua, Phú Xuân: Phòng Quản lý công nghiệp đề nghị Ban Quản lý Khu kinh tế tỉnh và chủ đầu tư cung cấp tại buổi làm việc ngày 19/10/2026.</w:t>
      </w:r>
    </w:p>
    <w:p>
      <w:pPr>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r>
    </w:p>
    <w:p>
      <w:pPr>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t>Rất mong hai Phòng phối hợp đúng thời hạn để Sở hoàn thành tài liệu báo cáo Thường trực Tỉnh ủy./.</w:t>
      </w:r>
    </w:p>
    <w:p>
      <w:pPr>
        <w:ind w:firstLine="567"/>
        <w:jc w:val="both"/>
        <w:rPr>
          <w:rFonts w:ascii="Times New Roman" w:hAnsi="Times New Roman" w:eastAsia="Times New Roman" w:cs="Times New Roman"/>
        </w:rPr>
      </w:pPr>
      <w:r>
        <w:rPr>
          <w:rFonts w:ascii="Times New Roman" w:hAnsi="Times New Roman" w:eastAsia="Times New Roman" w:cs="Times New Roman"/>
          <w:b w:val="0"/>
          <w:i w:val="0"/>
          <w:sz w:val="28"/>
        </w:rPr>
      </w:r>
    </w:p>
    <w:p>
      <w:pPr>
        <w:jc w:val="right"/>
        <w:rPr>
          <w:rFonts w:ascii="Times New Roman" w:hAnsi="Times New Roman" w:eastAsia="Times New Roman" w:cs="Times New Roman"/>
        </w:rPr>
      </w:pPr>
      <w:r>
        <w:rPr>
          <w:rFonts w:ascii="Times New Roman" w:hAnsi="Times New Roman" w:eastAsia="Times New Roman" w:cs="Times New Roman"/>
          <w:b w:val="0"/>
          <w:i/>
          <w:sz w:val="28"/>
        </w:rPr>
        <w:t>Lào Cai, ngày 18 tháng 10 năm 2026</w:t>
      </w:r>
    </w:p>
    <w:p>
      <w:pPr>
        <w:jc w:val="right"/>
        <w:rPr>
          <w:rFonts w:ascii="Times New Roman" w:hAnsi="Times New Roman" w:eastAsia="Times New Roman" w:cs="Times New Roman"/>
        </w:rPr>
      </w:pPr>
      <w:r>
        <w:rPr>
          <w:rFonts w:ascii="Times New Roman" w:hAnsi="Times New Roman" w:eastAsia="Times New Roman" w:cs="Times New Roman"/>
          <w:b/>
          <w:i w:val="0"/>
          <w:sz w:val="28"/>
        </w:rPr>
        <w:t>PHÒNG QUẢN LÝ CÔNG NGHIỆP</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