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Layout w:type="fixed"/>
      </w:tblPr>
      <w:tblGrid>
        <w:gridCol w:w="3402"/>
        <w:gridCol w:w="5669"/>
      </w:tblGrid>
      <w:tr>
        <w:tc>
          <w:tcPr>
            <w:tcW w:type="dxa" w:w="3402"/>
          </w:tcPr>
          <w:p>
            <w:pPr>
              <w:spacing w:after="0"/>
              <w:jc w:val="center"/>
              <w:rPr>
                <w:rFonts w:ascii="Times New Roman" w:hAnsi="Times New Roman" w:eastAsia="Times New Roman" w:cs="Times New Roman"/>
              </w:rPr>
            </w:pPr>
            <w:r>
              <w:rPr>
                <w:rFonts w:ascii="Times New Roman" w:hAnsi="Times New Roman" w:eastAsia="Times New Roman" w:cs="Times New Roman"/>
                <w:b w:val="0"/>
                <w:i w:val="0"/>
                <w:sz w:val="26"/>
              </w:rPr>
              <w:t>UBND TỈNH LÀO CAI</w:t>
            </w:r>
          </w:p>
          <w:p>
            <w:pPr>
              <w:spacing w:after="0"/>
              <w:jc w:val="center"/>
              <w:rPr>
                <w:rFonts w:ascii="Times New Roman" w:hAnsi="Times New Roman" w:eastAsia="Times New Roman" w:cs="Times New Roman"/>
              </w:rPr>
            </w:pPr>
            <w:r>
              <w:rPr>
                <w:rFonts w:ascii="Times New Roman" w:hAnsi="Times New Roman" w:eastAsia="Times New Roman" w:cs="Times New Roman"/>
                <w:b/>
                <w:i w:val="0"/>
                <w:sz w:val="26"/>
              </w:rPr>
              <w:t>SỞ CÔNG THƯƠNG</w:t>
            </w:r>
          </w:p>
          <w:p>
            <w:pPr>
              <w:spacing w:after="0" w:before="60" w:line="40" w:lineRule="exact"/>
              <w:ind w:left="1051" w:right="1051"/>
              <w:pBdr>
                <w:bottom w:val="single" w:sz="6" w:space="0" w:color="000000"/>
              </w:pBdr>
              <w:rPr>
                <w:rFonts w:ascii="Times New Roman" w:hAnsi="Times New Roman" w:eastAsia="Times New Roman" w:cs="Times New Roman"/>
              </w:rPr>
            </w:pPr>
            <w:r>
              <w:rPr>
                <w:rFonts w:ascii="Times New Roman" w:hAnsi="Times New Roman" w:eastAsia="Times New Roman" w:cs="Times New Roman"/>
                <w:sz w:val="2"/>
              </w:rPr>
            </w:r>
          </w:p>
          <w:p>
            <w:pPr>
              <w:spacing w:before="120" w:after="0"/>
              <w:jc w:val="center"/>
              <w:rPr>
                <w:rFonts w:ascii="Times New Roman" w:hAnsi="Times New Roman" w:eastAsia="Times New Roman" w:cs="Times New Roman"/>
              </w:rPr>
            </w:pPr>
            <w:r>
              <w:rPr>
                <w:rFonts w:ascii="Times New Roman" w:hAnsi="Times New Roman" w:eastAsia="Times New Roman" w:cs="Times New Roman"/>
                <w:b w:val="0"/>
                <w:i w:val="0"/>
                <w:sz w:val="26"/>
              </w:rPr>
              <w:t>Số:          /BC-SCT</w:t>
            </w:r>
          </w:p>
        </w:tc>
        <w:tc>
          <w:tcPr>
            <w:tcW w:type="dxa" w:w="5669"/>
          </w:tcPr>
          <w:p>
            <w:pPr>
              <w:spacing w:after="0"/>
              <w:jc w:val="center"/>
              <w:rPr>
                <w:rFonts w:ascii="Times New Roman" w:hAnsi="Times New Roman" w:eastAsia="Times New Roman" w:cs="Times New Roman"/>
              </w:rPr>
            </w:pPr>
            <w:r>
              <w:rPr>
                <w:rFonts w:ascii="Times New Roman" w:hAnsi="Times New Roman" w:eastAsia="Times New Roman" w:cs="Times New Roman"/>
                <w:b/>
                <w:i w:val="0"/>
                <w:sz w:val="24"/>
              </w:rPr>
              <w:t>CỘNG HÒA XÃ HỘI CHỦ NGHĨA VIỆT NAM</w:t>
            </w:r>
          </w:p>
          <w:p>
            <w:pPr>
              <w:spacing w:after="0"/>
              <w:jc w:val="center"/>
              <w:rPr>
                <w:rFonts w:ascii="Times New Roman" w:hAnsi="Times New Roman" w:eastAsia="Times New Roman" w:cs="Times New Roman"/>
              </w:rPr>
            </w:pPr>
            <w:r>
              <w:rPr>
                <w:rFonts w:ascii="Times New Roman" w:hAnsi="Times New Roman" w:eastAsia="Times New Roman" w:cs="Times New Roman"/>
                <w:b/>
                <w:i w:val="0"/>
                <w:sz w:val="28"/>
              </w:rPr>
              <w:t>Độc lập – Tự do – Hạnh phúc</w:t>
            </w:r>
          </w:p>
          <w:p>
            <w:pPr>
              <w:spacing w:after="0" w:before="60" w:line="40" w:lineRule="exact"/>
              <w:ind w:left="1235" w:right="1235"/>
              <w:pBdr>
                <w:bottom w:val="single" w:sz="6" w:space="0" w:color="000000"/>
              </w:pBdr>
              <w:rPr>
                <w:rFonts w:ascii="Times New Roman" w:hAnsi="Times New Roman" w:eastAsia="Times New Roman" w:cs="Times New Roman"/>
              </w:rPr>
            </w:pPr>
            <w:r>
              <w:rPr>
                <w:rFonts w:ascii="Times New Roman" w:hAnsi="Times New Roman" w:eastAsia="Times New Roman" w:cs="Times New Roman"/>
                <w:sz w:val="2"/>
              </w:rPr>
            </w:r>
          </w:p>
          <w:p>
            <w:pPr>
              <w:spacing w:before="120" w:after="0"/>
              <w:jc w:val="center"/>
              <w:rPr>
                <w:rFonts w:ascii="Times New Roman" w:hAnsi="Times New Roman" w:eastAsia="Times New Roman" w:cs="Times New Roman"/>
              </w:rPr>
            </w:pPr>
            <w:r>
              <w:rPr>
                <w:rFonts w:ascii="Times New Roman" w:hAnsi="Times New Roman" w:eastAsia="Times New Roman" w:cs="Times New Roman"/>
                <w:b w:val="0"/>
                <w:i/>
                <w:sz w:val="28"/>
              </w:rPr>
              <w:t>Lào Cai, ngày        tháng 10 năm 2026</w:t>
            </w:r>
          </w:p>
        </w:tc>
      </w:tr>
    </w:tbl>
    <w:p>
      <w:pPr>
        <w:spacing w:after="0"/>
        <w:rPr>
          <w:rFonts w:ascii="Times New Roman" w:hAnsi="Times New Roman" w:eastAsia="Times New Roman" w:cs="Times New Roman"/>
        </w:rPr>
      </w:pPr>
    </w:p>
    <w:p>
      <w:pPr>
        <w:keepNext/>
        <w:spacing w:after="0"/>
        <w:jc w:val="center"/>
        <w:rPr>
          <w:rFonts w:ascii="Times New Roman" w:hAnsi="Times New Roman" w:eastAsia="Times New Roman" w:cs="Times New Roman"/>
        </w:rPr>
      </w:pPr>
      <w:r>
        <w:rPr>
          <w:rFonts w:ascii="Times New Roman" w:hAnsi="Times New Roman" w:eastAsia="Times New Roman" w:cs="Times New Roman"/>
          <w:b/>
          <w:i w:val="0"/>
          <w:sz w:val="28"/>
        </w:rPr>
        <w:t>BÁO CÁO</w:t>
      </w:r>
    </w:p>
    <w:p>
      <w:pPr>
        <w:keepNext/>
        <w:spacing w:after="0"/>
        <w:jc w:val="center"/>
        <w:rPr>
          <w:rFonts w:ascii="Times New Roman" w:hAnsi="Times New Roman" w:eastAsia="Times New Roman" w:cs="Times New Roman"/>
        </w:rPr>
      </w:pPr>
      <w:r>
        <w:rPr>
          <w:rFonts w:ascii="Times New Roman" w:hAnsi="Times New Roman" w:eastAsia="Times New Roman" w:cs="Times New Roman"/>
          <w:b/>
          <w:i w:val="0"/>
          <w:sz w:val="28"/>
        </w:rPr>
        <w:t>Kết quả thực hiện nhiệm vụ từ ngày 01/7/2025 đến ngày 15/10/2026; kế hoạch triển khai nhiệm vụ thời gian còn lại của năm 2026 và giai đoạn 2026 - 2030 của ngành Công Thương tỉnh Lào Cai</w:t>
      </w:r>
    </w:p>
    <w:p>
      <w:pPr>
        <w:spacing w:after="120"/>
        <w:jc w:val="center"/>
        <w:rPr>
          <w:rFonts w:ascii="Times New Roman" w:hAnsi="Times New Roman" w:eastAsia="Times New Roman" w:cs="Times New Roman"/>
        </w:rPr>
      </w:pPr>
      <w:r>
        <w:rPr>
          <w:rFonts w:ascii="Times New Roman" w:hAnsi="Times New Roman" w:eastAsia="Times New Roman" w:cs="Times New Roman"/>
          <w:b w:val="0"/>
          <w:i/>
          <w:sz w:val="28"/>
        </w:rPr>
        <w:t>(Tài liệu phục vụ Thường trực Tỉnh ủy làm việc với Sở Công Thương)</w:t>
      </w:r>
    </w:p>
    <w:p>
      <w:pPr>
        <w:spacing w:after="0"/>
        <w:rPr>
          <w:rFonts w:ascii="Times New Roman" w:hAnsi="Times New Roman" w:eastAsia="Times New Roman" w:cs="Times New Roman"/>
        </w:rPr>
      </w:pP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Sở Công Thương là cơ quan chuyên môn thuộc Ủy ban nhân dân tỉnh, tham mưu, giúp Ủy ban nhân dân tỉnh quản lý nhà nước về công thương, gồm: điện, than, địa chất, khoáng sản, dầu khí, năng lượng mới, năng lượng tái tạo, sử dụng năng lượng tiết kiệm và hiệu quả; hóa chất, vật liệu nổ công nghiệp, cơ khí, luyện kim, công nghiệp tiêu dùng, công nghiệp thực phẩm, công nghiệp hỗ trợ, công nghiệp môi trường, công nghiệp công nghệ cao (trừ công nghệ số); khuyến công, cụm công nghiệp, tiểu thủ công nghiệp; thương mại trong nước, xuất nhập khẩu, thương mại biên giới, phát triển thị trường ngoài nước, thương mại điện tử, xúc tiến thương mại, dịch vụ thương mại và logistics; quản lý thị trường, hội nhập kinh tế quốc tế, cạnh tranh, bảo vệ quyền lợi người tiêu dùng, phòng vệ thương mại và dịch vụ công thuộc phạm vi quản lý.</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Thực hiện Chương trình làm việc của Thường trực Tỉnh ủy, Sở Công Thương báo cáo kết quả thực hiện nhiệm vụ từ ngày 01/7/2025 (thời điểm vận hành chính quyền địa phương hai cấp và hợp nhất hai Sở Công Thương Lào Cai, Yên Bái) đến ngày 15/10/2026; kế hoạch thời gian còn lại của năm 2026 và giai đoạn 2026 - 2030 như sau:</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val="0"/>
          <w:sz w:val="28"/>
        </w:rPr>
        <w:t>A. ĐẶC ĐIỂM TÌNH HÌNH</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val="0"/>
          <w:sz w:val="28"/>
        </w:rPr>
        <w:t>I. CÔNG TÁC SẮP XẾP, KIỆN TOÀN TỔ CHỨC, BỘ MÁY VÀ CÁN BỘ</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val="0"/>
          <w:sz w:val="28"/>
        </w:rPr>
        <w:t>1. Mô hình tổ chức bộ máy hiện tại của ngành Công Thương</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Cấp tỉnh: Sở Công Thương, gồm Giám đốc, 06 Phó Giám đốc; 06 phòng chuyên môn (Văn phòng Sở, Phòng Quản lý công nghiệp, Phòng Quản lý năng lượng, Phòng Quản lý khoáng sản, Phòng Quản lý thương mại, Phòng Kế hoạch - Tài chính) và 01 chi cục trực thuộc là Chi cục Quản lý thị trường.</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Cấp xã: Phòng Kinh tế hoặc Phòng Kinh tế, Hạ tầng và Đô thị là cơ quan chuyên môn thuộc Ủy ban nhân dân xã, phường, giúp Ủy ban nhân dân cấp xã quản lý nhà nước về kinh tế, thương mại, xây dựng, quy hoạch và hạ tầng kỹ thuật trên địa bàn; chủ yếu quản lý các cơ sở sản xuất, kinh doanh nhỏ lẻ.</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Đánh giá: Mô hình hiện tại phù hợp với chức năng, nhiệm vụ của ngành Công Thương và yêu cầu vận hành chính quyền địa phương hai cấp; các lĩnh vực chuyên ngành, kỹ thuật phức tạp (công nghiệp, năng lượng, khoáng sản, khu, cụm công nghiệp) tiếp tục do Sở Công Thương chủ trì, phối hợp với các đơn vị thuộc Bộ Công Thương và cấp xã thực hiện.</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val="0"/>
          <w:sz w:val="28"/>
        </w:rPr>
        <w:t>2. Về tổ chức bộ máy của Sở Công Thương</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Sau hợp nhất Sở Công Thương Lào Cai và Sở Công Thương Yên Bái, Sở đã hoàn thành sắp xếp, kiện toàn tổ chức bộ máy theo hướng tinh gọn, hiệu lực, hiệu quả; ban hành quy chế làm việc, quy định chức năng, nhiệm vụ các phòng, đề án vị trí việc làm, bố trí trụ sở; bộ máy ổn định, hoạt động thông suốt ngay sau hợp nhất; tinh giản trên 20% biên chế theo lộ trình.</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Từ ngày 15/9/2026, Sở tiếp nhận chức năng quản lý nhà nước về địa chất, khoáng sản từ Sở Nông nghiệp và Môi trường và Sở Xây dựng; tổ chức thực hiện thống nhất tại Phòng Quản lý khoáng sản.</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Cơ sở vật chất: Bố trí làm việc ổn định tại 02 cơ sở (cơ sở 1 dành cho lãnh đạo Sở, cán bộ chủ chốt; cơ sở 2 tại phường Lào Cai, phường Cam Đường cho một bộ phận công chức); quản lý, sử dụng tài sản công đúng quy định.</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xml:space="preserve">- Nhân sự (đến ngày 15/10/2026): Biên chế có mặt 186/190 (01 tiến sĩ, 40 thạc sĩ, 145 đại học). Văn phòng Sở có mặt 67/69 biên chế (54 người từ ngành Công Thương, 13 người từ ngành khác), bố trí đúng vị trí việc làm; còn thiếu 01 vị trí quản lý thương mại quốc tế, xuất nhập khẩu thành thạo tiếng Trung. Chi cục Quản lý thị trường có mặt 119/121 biên chế (118 người từ ngành Công Thương, 01 người từ ngành khác), đáp ứng năng lực vị trí công tác. </w:t>
      </w:r>
      <w:r>
        <w:rPr>
          <w:rFonts w:ascii="Times New Roman" w:hAnsi="Times New Roman" w:eastAsia="Times New Roman" w:cs="Times New Roman"/>
          <w:b w:val="0"/>
          <w:i w:val="0"/>
          <w:color w:val="7030A0"/>
          <w:sz w:val="28"/>
        </w:rPr>
        <w:t>Văn phòng Sở rà soát, thống nhất số biên chế của Sở giữa phần này (67/69) và Phụ lục 03 (56/57) trước khi phát hành.</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val="0"/>
          <w:sz w:val="28"/>
        </w:rPr>
        <w:t>II. NHỮNG THUẬN LỢI, KHÓ KHĂN TÁC ĐỘNG ĐẾN THỰC HIỆN NHIỆM VỤ CỦA CƠ QUAN</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val="0"/>
          <w:sz w:val="28"/>
        </w:rPr>
        <w:t>1. Thuận lợi</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Tỉnh ủy, Hội đồng nhân dân tỉnh, Ủy ban nhân dân tỉnh quan tâm lãnh đạo, chỉ đạo sát sao; ban hành kịp thời các nghị quyết, đề án về phát triển công nghiệp, khu, cụm công nghiệp, năng lượng, kinh tế cửa khẩu (Nghị quyết số 34-NQ/TU, Đề án số 08-ĐA/TU, Kế hoạch số 06-KH/TU...), tạo cơ sở để ngành triển khai nhiệm vụ.</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Tổ chức bộ máy sau hợp nhất đã đi vào ổn định; các quy định về phân cấp, phân quyền, phân định thẩm quyền cơ bản đầy đủ; đội ngũ công chức có trình độ, kinh nghiệm thực tiễn, trách nhiệm cao, nhanh chóng thích ứng với mô hình mới.</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Tập thể lãnh đạo, công chức, người lao động đoàn kết, thống nhất, khắc phục khó khăn hoàn thành tốt nhiệm vụ; không gian phát triển sau sáp nhập được mở rộng, dư địa về đất công nghiệp, khoáng sản, năng lượng và kinh tế cửa khẩu lớn.</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val="0"/>
          <w:sz w:val="28"/>
        </w:rPr>
        <w:t>2. Khó khăn</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Mô hình chính quyền địa phương hai cấp là mô hình mới, phát sinh nhiều vấn đề chưa có tiền lệ; phân cấp, phối hợp giữa các cấp cần tiếp tục hoàn thiện, có lúc còn lúng túng.</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Quy mô đối tượng quản lý (doanh nghiệp, khu, cụm công nghiệp, cơ sở hạ tầng thương mại, dự án thủy điện, mỏ khoáng sản) tăng gấp đôi sau sáp nhập, cộng thêm chức năng địa chất, khoáng sản mới tiếp nhận; trong khi biên chế giảm theo lộ trình, nhân lực một số phòng ít, địa bàn rộng; cơ cấu công chức có trình độ kỹ thuật và kinh tế chưa hợp lý; công chức phụ trách lĩnh vực công thương tại cấp xã còn mỏng, nhiều xã, phường thiếu hoặc không có cán bộ đúng chuyên môn.</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Hệ thống văn bản quy phạm pháp luật chuyên ngành (điện lực, khoáng sản, cụm công nghiệp, xăng dầu, chợ...) thay đổi nhanh, một số nội dung chưa đồng bộ, chậm hướng dẫn, ảnh hưởng đến tiến độ thực hiện nhiệm vụ.</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val="0"/>
          <w:sz w:val="28"/>
        </w:rPr>
        <w:t>B. TÌNH HÌNH TRIỂN KHAI NHIỆM VỤ NĂM 2025 VÀ ĐẾN NGÀY 15/10/2026, THỜI GIAN CÒN LẠI CỦA NĂM 2026</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val="0"/>
          <w:sz w:val="28"/>
        </w:rPr>
        <w:t>I. TÌNH HÌNH THỰC HIỆN NHIỆM VỤ SAU SẮP XẾP</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val="0"/>
          <w:sz w:val="28"/>
        </w:rPr>
        <w:t>1. Công tác quy hoạch chiến lược</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xml:space="preserve">- Quy hoạch khoáng sản: Sau khi tiếp nhận nhiệm vụ, Sở đang tổ chức thực hiện Quy hoạch thăm dò, khai thác, chế biến và sử dụng các loại khoáng sản thời kỳ 2021 - 2030, tầm nhìn đến năm 2050 (Quyết định số 866/QĐ-TTg ngày 18/7/2023 của Thủ tướng Chính phủ); Quy hoạch khoáng sản làm vật liệu xây dựng (Quyết định số 1626/QĐ-TTg ngày 15/12/2023); Phương án địa chất, khoáng sản trong Điều chỉnh Quy hoạch tỉnh Lào Cai thời kỳ 2021 - 2030, tầm nhìn đến năm 2050 (Quyết định số 525/QĐ-UBND ngày 25/02/2026 của Ủy ban nhân dân tỉnh). Đã rà soát, triển khai đúng, đủ quy hoạch khoáng sản thông qua tham gia ý kiến chủ trương đầu tư và thẩm định các dự án khoáng sản. </w:t>
      </w:r>
      <w:r>
        <w:rPr>
          <w:rFonts w:ascii="Times New Roman" w:hAnsi="Times New Roman" w:eastAsia="Times New Roman" w:cs="Times New Roman"/>
          <w:b w:val="0"/>
          <w:i w:val="0"/>
          <w:color w:val="7030A0"/>
          <w:sz w:val="28"/>
        </w:rPr>
        <w:t>Phòng Quản lý khoáng sản bổ sung: số hồ sơ đã thẩm định, số văn bản tham gia ý kiến về khoáng sản từ ngày 15/9/2026 đến ngày 15/10/2026; các vị trí chồng lấn quy hoạch khoáng sản với khu công nghiệp, cụm công nghiệp, thủy điện đã kiến nghị điều chỉnh.</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xml:space="preserve">- Quy hoạch năng lượng: Tổ chức thực hiện Quy hoạch điện VIII điều chỉnh và Kế hoạch thực hiện Quy hoạch điện VIII trên địa bàn tỉnh; tích hợp vào Quy hoạch tỉnh. Thường xuyên rà soát, đề xuất cập nhật danh mục nguồn, lưới điện vào Quy hoạch điện VIII điều chỉnh với tổng công suất 4.935 MW (thủy điện tích năng 1.500 MW giai đoạn 2026 - 2030 và 1.200 MW giai đoạn 2031 - 2035; thủy điện vừa và nhỏ 182 MW giai đoạn 2026 - 2030 và 12 MW giai đoạn 2031 - 2035; điện mặt trời tập trung 1.897 MW giai đoạn 2026 - 2030 và 144 MW giai đoạn 2031 - 2035). Sở tiếp tục nhận được đề xuất bổ sung các dự án nguồn điện vào quy hoạch với tổng công suất khoảng 800 MW (thủy điện tích năng 600 MW, điện mặt trời khoảng 200 MW). Bộ Công Thương đã có Văn bản số 8151/BCT-ĐL ngày 07/10/2026 lấy ý kiến các bộ, ngành, địa phương về Đề án Điều chỉnh Quy hoạch phát triển điện lực quốc gia thời kỳ 2021 - 2030, tầm nhìn đến năm 2050 (bước 1); Sở đang tổng hợp, tham mưu Ủy ban nhân dân tỉnh tham gia ý kiến. </w:t>
      </w:r>
      <w:r>
        <w:rPr>
          <w:rFonts w:ascii="Times New Roman" w:hAnsi="Times New Roman" w:eastAsia="Times New Roman" w:cs="Times New Roman"/>
          <w:b w:val="0"/>
          <w:i w:val="0"/>
          <w:color w:val="7030A0"/>
          <w:sz w:val="28"/>
        </w:rPr>
        <w:t>Phòng Quản lý năng lượng bổ sung: thời hạn và nội dung chính dự kiến tham gia ý kiến Văn bản số 8151/BCT-ĐL; danh mục dự án đề nghị bổ sung (tên, công suất, địa điểm).</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Quy hoạch tỉnh sau sáp nhập: Cung cấp số liệu hiện trạng; phối hợp Sở Tài chính và đơn vị tư vấn rà soát, tổng hợp, đưa phương án phát triển ngành Công Thương (công nghiệp, khu, cụm công nghiệp, năng lượng, khoáng sản, thương mại, logistics) tích hợp vào Quy hoạch tỉnh Lào Cai thời kỳ 2021 - 2030, tầm nhìn đến năm 2050 theo Luật Quy hoạch. Theo Quy hoạch tỉnh điều chỉnh, đến năm 2030 toàn tỉnh có 20 khu công nghiệp (khoảng 5.797 ha) và 54 cụm công nghiệp (khoảng 2.928 ha).</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val="0"/>
          <w:sz w:val="28"/>
        </w:rPr>
        <w:t>2. Công tác tham mưu, thực hiện phân cấp, phân quyền</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Các quy định về phân cấp, phân quyền, phân định thẩm quyền trong lĩnh vực công thương cơ bản rõ ràng, bảo đảm vận hành mô hình chính quyền địa phương hai cấp; cơ bản chưa phát sinh khó khăn lớn. Cụ thể:</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Về phân cấp, phân định thẩm quyền: Thực hiện Nghị định số 139/2025/NĐ-CP và Nghị định số 146/2025/NĐ-CP của Chính phủ, lĩnh vực công thương có 39 nhiệm vụ phân định thẩm quyền khi bỏ cấp trung gian (cấp tỉnh 07 nhiệm vụ từ cấp huyện lên; cấp xã 32 nhiệm vụ từ cấp huyện xuống) và 208 nhiệm vụ phân cấp, phân quyền từ Trung ương cho địa phương.</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Về ủy quyền: Đã trình Ủy ban nhân dân tỉnh ban hành Quyết định ủy quyền cho Giám đốc Sở Công Thương thực hiện một số nhiệm vụ, quyền hạn của Ủy ban nhân dân tỉnh trong lĩnh vực công nghiệp và thương mại.</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Về hướng dẫn cấp xã: Tổ chức hội nghị hướng dẫn các xã, phường triển khai Nghị định số 303/2026/NĐ-CP về cụm công nghiệp (ngày 15/9/2026); rà soát điều kiện thành lập cụm công nghiệp mới tại toàn bộ 99 xã, phường; hướng dẫn nghiệp vụ quản lý chợ, xăng dầu, khuyến mại, an toàn thực phẩm cho cấp xã.</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val="0"/>
          <w:sz w:val="28"/>
        </w:rPr>
        <w:t>3. Tình hình thực hiện mục tiêu cắt giảm thủ tục hành chính và cơ chế "luồng xanh"</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Từ ngày 15/10/2025 đến ngày 14/10/2026, số thủ tục hành chính do Sở thực hiện tăng từ 168 lên 298 thủ tục (286 thủ tục cấp tỉnh, 12 thủ tục cấp xã), chủ yếu do tiếp nhận các thủ tục phân cấp từ Trung ương (xuất nhập khẩu, thương mại quốc tế, khoáng sản).</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Cắt giảm thời gian giải quyết: Đã cắt giảm 30% tổng thời gian giải quyết đối với 66 thủ tục; cắt giảm trên 30% đối với 13 thủ tục.</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Cắt giảm, bãi bỏ: Tham mưu Ủy ban nhân dân tỉnh cắt giảm, bãi bỏ 69 thủ tục hành chính (cấp tỉnh 57, cấp xã 12). Tái cấu trúc quy trình, bảo đảm 100% thủ tục đủ điều kiện được cung cấp dịch vụ công trực tuyến toàn trình, kết nối Cổng Dịch vụ công quốc gia.</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Kết quả giải quyết (từ ngày 15/12/2025 đến ngày 14/10/2026): Tiếp nhận 776 hồ sơ (trực tuyến 774, trực tiếp 02, tồn kỳ trước 0); đã giải quyết 696 hồ sơ, đang giải quyết trong hạn 51 hồ sơ; không có hồ sơ quá hạn. Cơ chế "luồng xanh" được áp dụng cho hồ sơ của các dự án trọng điểm (chủ trương đầu tư khu, cụm công nghiệp, dự án năng lượng, cấp C/O cho hàng xuất khẩu), ưu tiên giải quyết trước hạn.</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Năm 2025, chỉ số cải cách hành chính của Sở xếp thứ 8/16 sở, ngành, đạt loại xuất sắc; chỉ số phục vụ người dân, doanh nghiệp xếp thứ 2 trong các sở, ngành.</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Xây dựng, thi hành pháp luật theo Nghị quyết số 66-NQ/TW ngày 30/4/2025 của Bộ Chính trị: Rà soát 27 văn bản quy phạm pháp luật thuộc lĩnh vực công thương cần xử lý; đã xử lý 20 văn bản (03 nghị quyết của Hội đồng nhân dân tỉnh, 17 quyết định của Ủy ban nhân dân tỉnh), 07 văn bản đang xử lý.</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val="0"/>
          <w:sz w:val="28"/>
        </w:rPr>
        <w:t>4. Tiến độ giải ngân vốn đầu tư công</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xml:space="preserve">Tổng kế hoạch vốn đầu tư công năm 2026 Ủy ban nhân dân tỉnh giao Sở quản lý là 83,345 tỷ đồng (100% từ nguồn thu tiền sử dụng đất), chủ yếu cho các dự án cấp điện nông thôn. Lũy kế giải ngân đến ngày 15/10/2026 đạt 48,332 tỷ đồng, bằng 58% kế hoạch. Sở phấn đấu giải ngân 100% kế hoạch vốn trong năm 2026 (tập trung nghiệm thu, thanh quyết toán các hạng mục đã hoàn thành; đóng điện các thôn, bản theo tiến độ). </w:t>
      </w:r>
      <w:r>
        <w:rPr>
          <w:rFonts w:ascii="Times New Roman" w:hAnsi="Times New Roman" w:eastAsia="Times New Roman" w:cs="Times New Roman"/>
          <w:b w:val="0"/>
          <w:i w:val="0"/>
          <w:color w:val="7030A0"/>
          <w:sz w:val="28"/>
        </w:rPr>
        <w:t>Phòng Quản lý năng lượng cung cấp: danh mục dự án cấp điện nông thôn sử dụng vốn 83,345 tỷ đồng, giá trị giải ngân từng dự án và dự kiến giải ngân Quý IV/2026.</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val="0"/>
          <w:sz w:val="28"/>
        </w:rPr>
        <w:t>5. Tình hình thực hiện kịch bản thu ngân sách nhà nước</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xml:space="preserve">Năm 2026, Sở được giao dự toán thu phí, lệ phí 410 triệu đồng. Ngay từ đầu năm, Sở ban hành Quyết định số 162/QĐ-SCT ngày 12/01/2026 giao chỉ tiêu chi tiết cho các phòng. Kết quả thu đến ngày 15/10/2026 đạt 780 triệu đồng, bằng 190% dự toán cả năm, không phát sinh vướng mắc. Ngoài ra, ngành Công Thương đóng góp vào thu ngân sách của tỉnh thông qua các doanh nghiệp công nghiệp, khoáng sản, thủy điện, xuất nhập khẩu (thuế tài nguyên, phí bảo vệ môi trường, tiền cấp quyền khai thác khoáng sản, thuế giá trị gia tăng...). </w:t>
      </w:r>
      <w:r>
        <w:rPr>
          <w:rFonts w:ascii="Times New Roman" w:hAnsi="Times New Roman" w:eastAsia="Times New Roman" w:cs="Times New Roman"/>
          <w:b w:val="0"/>
          <w:i w:val="0"/>
          <w:color w:val="7030A0"/>
          <w:sz w:val="28"/>
        </w:rPr>
        <w:t>Phòng Quản lý khoáng sản, Phòng Quản lý năng lượng bổ sung (nếu có số liệu từ cơ quan thuế): số nộp ngân sách 9 tháng năm 2026 của các doanh nghiệp khoáng sản, thủy điện trên địa bàn.</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val="0"/>
          <w:sz w:val="28"/>
        </w:rPr>
        <w:t>6. Tham mưu, tổ chức thực hiện các nghị quyết chiến lược của Bộ Chính trị, Chính phủ và Tỉnh ủy</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sz w:val="28"/>
        </w:rPr>
        <w:t>6.1. Tham mưu, tổ chức thực hiện Nghị quyết Đại hội Đảng bộ tỉnh lần thứ I</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Nghị quyết số 28-NQ/ĐH ngày 30/9/2025 của Đại hội đại biểu Đảng bộ tỉnh Lào Cai lần thứ I xác định giai đoạn 2026 - 2030: tốc độ tăng trưởng GRDP bình quân từ 10%/năm trở lên; chỉ số sản xuất công nghiệp tăng bình quân trên 12%/năm; tổng giá trị xuất nhập khẩu đạt 10 tỷ USD vào năm 2030. Ngành Công Thương đã cụ thể hóa các mục tiêu được giao thành chương trình hành động, đề án, kế hoạch và văn bản chỉ đạo, điều hành sát thực tiễn: tham mưu Tỉnh ủy ban hành Nghị quyết số 34-NQ/TU về phát triển khu, cụm công nghiệp và Đề án số 08-ĐA/TU về phát triển công nghiệp theo hướng xanh, hiện đại; tham mưu Ủy ban nhân dân tỉnh ban hành Danh mục dự án thu hút đầu tư giai đoạn 2026 - 2030 (Quyết định số 1382/QĐ-UBND ngày 23/4/2026), Kịch bản tăng trưởng kinh tế năm 2026 (Quyết định số 420/QĐ-UBND ngày 11/02/2026), Kế hoạch phát triển dịch vụ logistics, Kế hoạch triển khai Luật Thương mại điện tử, Quy chế quản lý cụm công nghiệp (Quyết định số 16/2026/QĐ-UBND ngày 25/02/2026). Sở quyết tâm tổ chức thực hiện hiệu quả các nhiệm vụ được giao, phấn đấu đạt và vượt các chỉ tiêu tăng trưởng của tỉnh ngay từ đầu nhiệm kỳ.</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sz w:val="28"/>
        </w:rPr>
        <w:t>6.2. Nghị quyết số 70-NQ/TW về bảo đảm an ninh năng lượng quốc gia đến năm 2030, tầm nhìn đến năm 2045</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Thực hiện Kế hoạch số 06-KH/TU của Ban Thường vụ Tỉnh ủy và Kế hoạch số 147/KH-UBND ngày 31/10/2025 của Ủy ban nhân dân tỉnh, Sở đã: (1) Tham mưu hoàn thiện thể chế, công khai quy hoạch, danh mục dự án năng lượng kêu gọi đầu tư; cắt giảm tối thiểu 30% điều kiện, chi phí, thời gian giải quyết thủ tục hành chính lĩnh vực điện; tổ chức 03 hội nghị tháo gỡ khó khăn về mặt bằng, thi công cho các dự án điện. (2) Phát triển nguồn cung: toàn tỉnh có 199 dự án thủy điện (2.978,05 MW), trong đó 108 dự án đã hoàn thành (1.794,1 MW), 15 dự án đang thi công (179,1 MW), 19 dự án đã chấp thuận chủ trương đầu tư (219 MW), 57 dự án chưa có nhà đầu tư; 04 dự án điện sinh khối (208 MW, 02 dự án đã chấp thuận chủ trương đầu tư 79 MW); 03 dự án điện gió trên bờ (360 MW); 16 dự án điện mặt trời tập trung (1.761 MW); điện rác 13 MW. (3) Huy động nguồn lực xã hội: đến ngày 15/10/2026 có 42/86 dự án năng lượng trong Danh mục thu hút đầu tư giai đoạn 2026 - 2030 được nhà đầu tư quan tâm, nộp hồ sơ (09 dự án đã chấp thuận chủ trương đầu tư). (4) Sử dụng năng lượng tiết kiệm, hiệu quả: ban hành kế hoạch cụ thể hóa Chương trình quốc gia giai đoạn 2026 - 2030; theo dõi cơ sở sử dụng năng lượng trọng điểm; phấn đấu tiết kiệm 2 - 5% điện năng. (5) Hợp tác quốc tế: phối hợp Tập đoàn Điện lực Việt Nam triển khai lưới điện nhập khẩu điện từ Trung Quốc theo chủ trương của Trung ương. (Chi tiết tại mục 1 Phụ lục 01).</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sz w:val="28"/>
        </w:rPr>
        <w:t>6.3. Kết quả thực hiện Nghị quyết số 57-NQ/TW về khoa học, công nghệ, đổi mới sáng tạo và chuyển đổi số</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Thực hiện đúng tiến độ các nhiệm vụ tại Kế hoạch số 34-KH/TU, Kế hoạch số 36-KH/TU của Tỉnh ủy, Kế hoạch số 346/KH-SCT ngày 22/01/2026 và Kế hoạch số 1267/KH-SCT ngày 16/3/2026 của Sở. Kết quả nổi bật: số hóa 119.048/50.000 trang tài liệu có giá trị cao, đạt 238% chỉ tiêu (khoảng 45 GB); triển khai "Chiến dịch 90 ngày" xây dựng 03 cơ sở dữ liệu (xuất nhập khẩu, cửa hàng xăng dầu, chợ); vận hành đồng thời hệ thống thủ tục hành chính của tỉnh và Bộ Công Thương; dự án thuê dịch vụ Hệ thống thông tin ngành Công Thương đang hoàn thiện hồ sơ thẩm định kế hoạch thuê. Tham mưu Ủy ban nhân dân tỉnh ban hành Kế hoạch số 142/KH-UBND về Chiến lược phát triển dịch vụ logistics, chủ trì xây dựng Bản đồ số logistics Lào Cai; Kế hoạch số 250/KH-UBND triển khai Luật Thương mại điện tử; hoàn thiện hồ sơ Nghị quyết chính sách hỗ trợ đặc thù phát triển kinh tế số, thương mại điện tử giai đoạn 2026 - 2030. Hỗ trợ đưa sản phẩm OCOP lên sàn thương mại điện tử; tập huấn kinh doanh số, livestream, ứng dụng AI. Hệ thống thông tin của Sở đạt an toàn thông tin cấp độ 2; Nền tảng cửa khẩu số đạt cấp độ 3, thời gian xử lý phương tiện tại Barie số 1 dưới 02 phút/xe. Hạ tầng điện phục vụ chuyển đổi số: đang cấp điện lưới quốc gia cho 31 thôn, bản (đã hoàn thành 03 thôn Ngã Hai, Sán Trá 1, Sán Trá 2; đang thi công 16 thôn, còn vướng giải phóng mặt bằng, đo đạc địa chính tại 06 thôn; các thôn còn lại đang chuẩn bị đầu tư); phối hợp doanh nghiệp viễn thông xóa lõm sóng tại 06 thôn, phát triển internet tại 22 thôn, xử lý lõm sóng, thiếu điện tại 17 cơ sở giáo dục. (Chi tiết tại mục 2 Phụ lục 01).</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sz w:val="28"/>
        </w:rPr>
        <w:t>6.4. Đề án số 08-ĐA/TU ngày 29/12/2025 của Tỉnh ủy về phát triển công nghiệp tỉnh Lào Cai theo hướng xanh, hiện đại giai đoạn 2026 - 2030</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Chỉ số sản xuất công nghiệp 9 tháng năm 2026 tăng 7,7% so với cùng kỳ. Toàn tỉnh có 12 khu công nghiệp đã thành lập hoặc được chấp thuận chủ trương đầu tư (3.306,18 ha; 228 dự án; tỷ lệ lấp đầy các khu đang hoạt động 73,9%, vượt mục tiêu năm 2026); 25 cụm công nghiệp (1.028,78 ha; 233 dự án, cơ sở; tỷ lệ lấp đầy gần 30%). Đang triển khai: duy trì hoạt động 44 dự án khoáng sản nhóm I và 22 nhà máy tuyển; tái khởi động mỏ sắt Quý Xa; hoàn thiện quy hoạch phân khu các Khu công nghiệp Phú Xuân, Phú Xuân 1, Cam Đường; di dời Khu công nghiệp Đông Phố Mới, Cụm công nghiệp Đông Phố Mới, Cụm công nghiệp Sơn Mãn phục vụ dự án đường sắt Lào Cai - Hà Nội - Hải Phòng; xây dựng Đề án chuyển đổi Khu công nghiệp Tằng Loỏng sang khu công nghiệp sinh thái; đẩy nhanh các trạm xử lý nước thải tập trung; phủ sóng 5G đạt 100% tại các khu công nghiệp; tuyển sinh đào tạo nghề 23.203 người; tổng vốn thực hiện Đề án đạt 653,073 tỷ đồng. Tồn tại: nhiều dự án khoáng sản, hạ tầng khu, cụm công nghiệp chậm do vướng giải phóng mặt bằng; hạ tầng giao thông ngoài hàng rào chưa đồng bộ; còn chồng lấn giữa Quy hoạch điện VIII điều chỉnh và Quy hoạch khoáng sản 866 (thủy điện Chấn Thịnh, Nậm Pươi); lưới điện truyền tải chậm so với quy hoạch. (Chi tiết tại mục 3 Phụ lục 01).</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sz w:val="28"/>
        </w:rPr>
        <w:t>6.5. Kết quả thực hiện Nghị quyết số 34-NQ/TU ngày 27/12/2025 của Tỉnh ủy về phát triển các khu, cụm công nghiệp</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Tạo mặt bằng sạch: Đến ngày 25/9/2026, các khu, cụm công nghiệp đã giải phóng mặt bằng 603,47 ha; diện tích mặt bằng sạch đạt 361,47 ha, bằng 72,29% mục tiêu 500 ha của năm 2026 (Khu công nghiệp Trấn Yên khu phía Tây 109 ha, san nền khoảng 80%; 02 dự án hạ tầng tiếp nhận cơ sở di dời Khu công nghiệp Đông Phố Mới 82,61 ha; các Khu công nghiệp Phía Nam, Minh Quân, Âu Lâu 35,86 ha; Cụm công nghiệp Thống Nhất 1 đã chi trả 142/144 hộ; Cụm công nghiệp Phú Thịnh 2 là 54,49 ha, Phú Thịnh 3 là 30,6 ha).</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Thành lập mới: Năm 2026 thành lập mới 1.440,29 ha khu, cụm công nghiệp, vượt gần 03 lần mục tiêu Nghị quyết (trên 500 ha), gồm 05 khu công nghiệp được chấp thuận chủ trương đầu tư đồng thời chấp thuận nhà đầu tư (Bản Qua, Phú Xuân, Phú Xuân 1, Võ Lao, Cam Đường; 1.255,29 ha; khoảng 13.990 tỷ đồng) và 03 cụm công nghiệp Bảo Minh (60 ha), Mông Sơn (50 ha), Yên Hợp 2 (75 ha) với tổng mức đầu tư 1.621,85 tỷ đồng. Đã trình thành lập Cụm công nghiệp Xuân Ái (75 ha); đang thẩm định 05 cụm Tân Nguyên, Tân Hợp, Bản Phiệt 1, Châu Quế, Phú Thịnh 6 (302 ha); hoàn thiện hồ sơ 06 cụm có hạ tầng đầu tư bằng ngân sách (Bắc Văn Yên, Đông An, Yên Thế, Âu Lâu, Sơn Thịnh, Hưng Khánh); dự kiến năm 2026 vượt mục tiêu thành lập mới ít nhất 05 cụm.</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Tháo gỡ khó khăn, quản lý nhà nước: Tham mưu điều chỉnh Quyết định thành lập các Cụm công nghiệp Phú Thịnh 2 (Quyết định số 1335/QĐ-UBND ngày 21/4/2026), Minh Quân (Quyết định số 2586/QĐ-UBND ngày 28/7/2026), Phú Thịnh 1 (Quyết định số 3725/QĐ-UBND ngày 09/10/2026); thành lập Ban Chỉ đạo phát triển các Khu công nghiệp Võ Lao, Bản Qua (Quyết định số 2029/QĐ-UBND ngày 10/6/2026); tổng hợp tình hình từng cụm công nghiệp phục vụ cuộc họp ngày 06/10/2026 của Chủ tịch Ủy ban nhân dân tỉnh (kết luận tại Thông báo số 181/TB-VPUBND ngày 08/10/2026, giao nhiệm vụ và mốc hoàn thành cho từng sở, ngành, địa phương, chủ đầu tư). Ban hành Quy chế quản lý cụm công nghiệp (Quyết định số 16/2026/QĐ-UBND ngày 25/02/2026); hướng dẫn Nghị định số 303/2026/NĐ-CP (Văn bản số 5541/SCT-CN ngày 09/9/2026); thành lập Hội đồng đánh giá lựa chọn chủ đầu tư hạ tầng các Cụm công nghiệp Tân Nguyên, Mông Sơn, Xuân Ái; thiết lập chế độ báo cáo hằng tuần của chủ đầu tư hạ tầng cụm công nghiệp (Văn bản số 5563/SCT-CN ngày 10/9/2026). Phối hợp Ủy ban nhân dân phường Yên Bái xây dựng Đề án di dời Cụm công nghiệp Đầm Hồng sang Cụm công nghiệp Âu Lâu. (Chi tiết tại mục 4 Phụ lục 01).</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sz w:val="28"/>
        </w:rPr>
        <w:t>6.6. Bài toán lớn số 2 - Kế hoạch phát triển công nghiệp khai thác và tinh chế nguyên liệu phục vụ phát triển công nghệ chiến lược giai đoạn 2026 - 2030, tầm nhìn đến năm 2050</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Bài toán lớn số 2 thuộc Danh mục bài toán lớn về khoa học, công nghệ, đổi mới sáng tạo và chuyển đổi số của tỉnh (Thông báo số 78/TB-UBND ngày 28/5/2026; Công văn số 7698/UBND-NC ngày 29/7/2026). Sở đã xây dựng dự thảo Kế hoạch, lấy ý kiến các sở (Công văn số 6199/SCT-CN ngày 02/10/2026), trình Ủy ban nhân dân tỉnh tại Tờ trình số 5728/TTr-SCT ngày 15/9/2026 và hoàn thiện theo yêu cầu "sáu rõ" tại Tờ trình số 6283/TTr-SCT ngày 05/10/2026. Nội dung cơ bản: tập trung ba chuỗi apatit, đồng, sắt; đất hiếm, graphit đưa các mỏ đã cấp phép vào khai thác, chuẩn bị tinh chế; dự án mới bố trí tại các Khu công nghiệp Võ Lao, Phú Xuân, Phú Xuân 1, Bản Qua, Cam Đường; Khu công nghiệp Tằng Loỏng chuyển đổi sang khu công nghiệp sinh thái. Mục tiêu đến năm 2030: thu hút 02 - 03 dự án tinh chế, chế biến sâu quy mô lớn; nhà máy axit phốt phoric cấp điện tử vận hành thương mại năm 2027; 100% khu công nghiệp đang hoạt động và 100% cụm công nghiệp có hệ thống xử lý nước thải tập trung; ít nhất 06 nhiệm vụ khoa học và công nghệ, 03 quy trình công nghệ được chuyển giao, 02 mô hình kinh tế tuần hoàn. Danh mục 14 dự án (nhóm A 05 dự án đang đầu tư, đã có nhà đầu tư hoặc giấy phép; nhóm B 09 dự án kêu gọi đầu tư mới). Kinh phí sự nghiệp 13,5 tỷ đồng giai đoạn 2027 - 2030; vốn đầu tư công hạ tầng khu, cụm công nghiệp 1.338,25 tỷ đồng đã có trong kế hoạch trung hạn (Quyết định số 2390/QĐ-UBND ngày 09/7/2026). Sở đang theo dõi, tiếp thu ý kiến để Ủy ban nhân dân tỉnh ban hành Kế hoạch. (Chi tiết tại mục 5 Phụ lục 01).</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val="0"/>
          <w:sz w:val="28"/>
        </w:rPr>
        <w:t>7. Công tác phối hợp</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Công tác phối hợp giữa Sở Công Thương với các sở, ngành, Ban Quản lý Khu kinh tế tỉnh, Ban Quản lý các Khu công nghiệp tỉnh và các xã, phường được thực hiện tốt; trao đổi thông tin thường xuyên, bảo đảm chỉ đạo, điều hành thống nhất, kịp thời. Sở là cơ quan thường trực Ban Chỉ đạo 389 tỉnh, Ban Chỉ đạo phát triển các Khu công nghiệp Võ Lao, Bản Qua; thành viên Ban Chỉ đạo các dự án trọng điểm của tỉnh.</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Thường xuyên nắm tình hình, làm việc với các địa phương về phát triển hạ tầng thương mại, công nghiệp; tháo gỡ vướng mắc cho các dự án khai thác, chế biến khoáng sản, sản xuất công nghiệp, thủy điện và hạ tầng khu, cụm công nghiệp. Phối hợp Văn phòng Ủy ban nhân dân tỉnh chuẩn bị nội dung các cuộc họp của Chủ tịch Ủy ban nhân dân tỉnh về khu, cụm công nghiệp (Thông báo số 173/TB-VPUBND ngày 01/10/2026, Thông báo số 181/TB-VPUBND ngày 08/10/2026) và nội dung phục vụ Thường trực Tỉnh ủy kiểm tra 15 dự án trọng điểm theo Chương trình số 130-CTr/TU ngày 16/10/2026.</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Phối hợp với Thương vụ Việt Nam tại Côn Minh, chính quyền huyện Hà Khẩu và Sở Thương mại tỉnh Vân Nam (Trung Quốc) nắm bắt chính sách xuất nhập khẩu, mời gọi đầu tư năng lượng, kết nối giao thương.</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val="0"/>
          <w:sz w:val="28"/>
        </w:rPr>
        <w:t>II. TÌNH HÌNH THU HÚT ĐẦU TƯ</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val="0"/>
          <w:sz w:val="28"/>
        </w:rPr>
        <w:t>1. Định hướng thu hút đầu tư giai đoạn 2026 - 2030</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Theo Quyết định số 1382/QĐ-UBND ngày 23/4/2026 của Ủy ban nhân dân tỉnh phê duyệt Danh mục dự án thu hút đầu tư giai đoạn 2026 - 2030, Sở Công Thương làm đầu mối kêu gọi đầu tư 35 dự án cụm công nghiệp (vốn dự kiến 22.854 tỷ đồng), hướng tới thêm 2.000 ha đất công nghiệp sạch; thúc đẩy 86 dự án năng lượng (vốn dự kiến trên 84.000 tỷ đồng, gồm 61 thủy điện, 03 điện sinh khối, 03 điện gió, 16 điện mặt trời, 03 điện rác) nhằm đa dạng hóa nguồn cung, giảm phụ thuộc thủy điện, hỗ trợ chỉ số sản xuất công nghiệp tăng trên 12%/năm.</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val="0"/>
          <w:sz w:val="28"/>
        </w:rPr>
        <w:t>2. Kết quả thu hút đầu tư đến ngày 15/10/2026</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Khu công nghiệp: 07 khu công nghiệp hình thành trước năm 2026 đang hoạt động, đầu tư hạ tầng; Khu công nghiệp Tằng Loỏng đóng góp khoảng 95% giá trị sản xuất công nghiệp của các khu do Ban Quản lý Khu kinh tế tỉnh quản lý; các Khu công nghiệp Phía Nam, Minh Quân, Âu Lâu do Ban Quản lý các Khu công nghiệp tỉnh quản lý có 93 dự án, tổng vốn đăng ký khoảng 15.360 tỷ đồng, tỷ lệ lấp đầy lần lượt 91,54%, 94,65%, 81,15%. Năm 2026, trong vòng 01 tháng (từ ngày 23/6 đến ngày 23/7/2026), Ủy ban nhân dân tỉnh chấp thuận chủ trương đầu tư đồng thời chấp thuận nhà đầu tư 05 khu công nghiệp Bản Qua, Phú Xuân, Phú Xuân 1, Võ Lao, Cam Đường (1.255,29 ha; khoảng 13.990 tỷ đồng); Khu công nghiệp Phú Xuân, Phú Xuân 1 đã khởi công ngày 26/8/2026; Khu công nghiệp Võ Lao khởi công trong tháng 11/2026 theo kết luận của Chủ tịch Ủy ban nhân dân tỉnh (Thông báo số 173/TB-VPUBND); các Khu công nghiệp Cam Đường, Bản Qua khởi công trong tháng 11/2026 (theo báo cáo của Ban Quản lý Khu kinh tế tỉnh). 09 khu công nghiệp còn lại trong Quy hoạch tỉnh (Thống Nhất, Bát Xát, Y Can, Đông An, Thịnh Hưng, Lục Yên, Việt Hồng 1, Việt Hồng 2, Cốc Mỳ - Trịnh Tường; 2.251 ha) đang lập quy hoạch phân khu, tiếp tục kêu gọi đầu tư hạ tầng.</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Cụm công nghiệp: Đã hình thành 25 cụm (1.028,78 ha; 232 dự án, cơ sở sản xuất), trong đó 09 cụm do doanh nghiệp làm chủ đầu tư hạ tầng (634,95 ha; tổng mức đầu tư 5.158,58 tỷ đồng). Đã khởi công Cụm công nghiệp Thống Nhất 1 (ngày 07/5/2026) và Cụm công nghiệp Phú Thịnh 3 (ngày 16/7/2026); các Cụm công nghiệp Minh Quân, Y Can khởi công trong tháng 11/2026; Cụm công nghiệp Mông Sơn phấn đấu khởi công trước ngày 31/12/2026. Năm 2026 thành lập 03 cụm Bảo Minh, Mông Sơn, Yên Hợp 2 (185 ha; 1.621,85 tỷ đồng); đã trình thành lập Cụm công nghiệp Xuân Ái (75 ha; 815,6 tỷ đồng); đang thẩm định 05 cụm Tân Nguyên, Tân Hợp, Bản Phiệt 1, Châu Quế, Phú Thịnh 6 (302 ha); nhà đầu tư đang lập hồ sơ 02 cụm An Thịnh, Cam Đường 1. Còn 22 cụm trong Quy hoạch tỉnh và Danh mục thu hút đầu tư (1.086,4 ha) chưa có nhà đầu tư, đang tiếp tục kêu gọi.</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Thủy điện: 04 dự án đã được chấp thuận chủ trương đầu tư năm 2026 với tổng công suất 31,1 MW (Nậm Xây Nọi, Dần Thàng, Dần Thàng 2, Nậm Chày); 27 dự án (256,6 MW) đang lấy ý kiến các ngành về đề xuất dự án đầu tư.</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Điện mặt trời: 05 dự án đã chấp thuận chủ trương đầu tư, tổng công suất 50 MW (Lào Cai 2, 3, 6, 7, 8); 05 dự án có nhà đầu tư quan tâm nộp hồ sơ, tổng công suất 1.606 MW, trong đó các dự án Điện mặt trời Yên Bình (500 MW), Điện mặt trời nổi hồ Thác Bà (500 MW), Điện mặt trời Mỹ Gia 2 (580 MW) vướng khoanh vùng bảo vệ I Di tích lịch sử và Danh lam thắng cảnh quốc gia hồ Thác Bà.</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Điện gió: 01 dự án (Trạm Tấu 1) đã được Ủy ban nhân dân tỉnh đồng ý cho lắp cột đo gió; 02 dự án chưa có nhà đầu tư nộp hồ sơ (Sở đã làm việc với các doanh nghiệp và chính quyền huyện Hà Khẩu, tỉnh Vân Nam để mời quan tâm đầu tư).</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xml:space="preserve">- Khoáng sản: Bộ Nông nghiệp và Môi trường đã cấp Giấy phép khai thác khoáng sản số 199/GP-BNNMT ngày 14/7/2026 cho Công ty cổ phần Khai thác và Chế biến Kim loại Thủ Đô tái khởi động mỏ sắt Quý Xa (5 triệu tấn/năm; khai thác trở lại từ tháng 9/2026) và cấp phép Công ty cổ phần Công nghiệp Khánh An khai thác đất hiếm tại khu vực Bến Đền (xã Gia Phú, xã Bảo Thắng). </w:t>
      </w:r>
      <w:r>
        <w:rPr>
          <w:rFonts w:ascii="Times New Roman" w:hAnsi="Times New Roman" w:eastAsia="Times New Roman" w:cs="Times New Roman"/>
          <w:b w:val="0"/>
          <w:i w:val="0"/>
          <w:color w:val="7030A0"/>
          <w:sz w:val="28"/>
        </w:rPr>
        <w:t>Phòng Quản lý khoáng sản bổ sung: số giấy phép, ngày cấp, công suất, thời hạn của dự án đất hiếm Bến Đền; các dự án khoáng sản khác được cấp phép, chấp thuận chủ trương đầu tư từ ngày 01/7/2025 đến ngày 15/10/2026.</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val="0"/>
          <w:sz w:val="28"/>
        </w:rPr>
        <w:t>3. Các dự án trọng điểm được Thường trực Tỉnh ủy kiểm tra theo Chương trình số 130-CTr/TU ngày 16/10/2026</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Thường trực Tỉnh ủy kiểm tra, tháo gỡ khó khăn 15 dự án trọng điểm: phiên ngày 19/10/2026 tại phường Cam Đường đối với 08 dự án khu vực Lào Cai (các Khu công nghiệp Phú Xuân, Phú Xuân 1, Võ Lao, Cam Đường, Bản Qua; các Cụm công nghiệp Thống Nhất 1, Khánh Yên Thượng; mỏ sắt Quý Xa) và phiên ngày 21/10/2026 tại trụ sở Tỉnh ủy đối với 07 dự án khu vực Yên Bái (Khu công nghiệp Trấn Yên; các Cụm công nghiệp Phú Thịnh 1, Phú Thịnh 2, Phú Thịnh 3, Mông Sơn, Minh Quân; mỏ graphit Yên Thái). Sở Công Thương đã tham mưu Ủy ban nhân dân tỉnh 02 báo cáo chi tiết từng dự án, kèm kiến nghị Thường trực Tỉnh ủy chỉ đạo. Tình hình chính:</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Khu công nghiệp Phú Xuân, Phú Xuân 1 (Công ty cổ phần Công nghiệp Linh Linh; 500 ha; 5.462 tỷ đồng): đã thông báo thu hồi đất 500/500 ha, kiểm đếm khoảng 260 ha, áp giá 168 ha, chi trả 42,04 tỷ đồng (17,1 ha), bàn giao 4,3 ha, đang thi công khoảng 11,3 ha; vướng nhân lực kiểm đếm của xã Gia Phú, tái định cư chưa xong, hạ tầng ngoài hàng rào (nước thô, đường kết nối IC17) chưa triển khai.</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Khu công nghiệp Võ Lao (Công ty cổ phần Đầu tư hạ tầng Châu Giang; 482,6 ha; 5.171,344 tỷ đồng): đã đo đạc 200 ha giai đoạn 1 (04 tờ bản đồ 71 ha đã phê duyệt, 16 tờ đang niêm yết đến ngày 22/10/2026); phấn đấu bàn giao 28 ha trước ngày 05/11/2026, khoảng 100 ha cuối tháng 11/2026; khởi công tháng 11/2026; khu tái định cư chưa có chủ trương đầu tư.</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Khu công nghiệp Cam Đường (Công ty cổ phần Đầu tư Lê Premium; 196,3 ha; 1.996 tỷ đồng): tiến độ tại Quyết định số 2548/QĐ-UBND: giai đoạn 1 (90 ha) hoạt động từ Quý III/2028, giai đoạn 2 (106,3 ha) vận hành toàn bộ Quý IV/2030; khởi công tháng 11/2026; khoảng 143 ha (72,85%) đất không có nhà ở có thể bàn giao sớm; 53 ha liên quan 148 hộ có nhà ở, nhu cầu 212 lô tái định cư; cấp điện bằng 02 tuyến 22 kV từ Trạm biến áp 110 kV Nam Thành phố (sẽ lắp bổ sung máy thứ hai 40 MVA) và lưới 22 kV hiện có; vướng cấp nước thô.</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Khu công nghiệp Bản Qua (Công ty cổ phần Đầu tư phát triển Công nghiệp Lào Cai; 76,39 ha giai đoạn 1; 1.360,668 tỷ đồng): đã đo trích lục 77,58 ha với 214 hộ; 34 hộ (4,11 ha) chưa đồng ý; đang điều chỉnh quy hoạch chi tiết, trình chuyển mục đích sử dụng rừng; khởi công tháng 11/2026.</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Cụm công nghiệp Thống Nhất 1 (74,95 ha; 860 tỷ đồng): đã phê duyệt phương án 144/144 hộ, thi công hạ tầng từ ngày 01/10/2026; còn vướng tái định cư 25 hộ và hai tuyến đường kết nối IC18, Quốc lộ 4E chưa khởi công (thiếu 50 tỷ đồng).</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Cụm công nghiệp Khánh Yên Thượng (5,17 ha; hạ tầng ngân sách): đề nghị mở rộng lên 17,17 ha để tiếp nhận Nhà máy sản xuất giày da xuất khẩu của Công ty TNHH Công nghiệp Văn Bảo; chưa có hệ thống xử lý nước thải tập trung.</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xml:space="preserve">- Mỏ sắt Quý Xa: đã khai thác trở lại; sản lượng quặng nguyên khai đến ngày 15/10/2026 khoảng 286.000 tấn; vướng cấp nước sinh hoạt cho gần 70 hộ thôn Tam Đỉnh, Khe Phàn, đường dân sinh 05 hộ, cầu Khe Lếch, khoảng 8.500 tấn quặng tồn của Công ty VTM và thủ tục nhà máy tuyển quặng deluvi. </w:t>
      </w:r>
      <w:r>
        <w:rPr>
          <w:rFonts w:ascii="Times New Roman" w:hAnsi="Times New Roman" w:eastAsia="Times New Roman" w:cs="Times New Roman"/>
          <w:b w:val="0"/>
          <w:i w:val="0"/>
          <w:color w:val="7030A0"/>
          <w:sz w:val="28"/>
        </w:rPr>
        <w:t>Phòng Quản lý khoáng sản xác nhận số liệu sản lượng, bán hàng đến ngày 15/10/2026 và tình trạng hồ sơ nhà máy tuyển deluvi.</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xml:space="preserve">- Khu vực Yên Bái: Khu công nghiệp Trấn Yên khu phía Tây 109 ha đã san nền khoảng 80%, khu phía Đông đang giải phóng mặt bằng; các Cụm công nghiệp Phú Thịnh 1, Phú Thịnh 2, Phú Thịnh 3 vướng 72,23 ha đất có nguồn gốc của Công ty cổ phần Chè Văn Hưng tồn tại từ năm 2016; Cụm công nghiệp Minh Quân (thành lập năm 2019) và Phú Thịnh 1 (thành lập năm 2022) chưa khởi công; Cụm công nghiệp Mông Sơn (thành lập tại Quyết định số 3426/QĐ-UBND ngày 23/9/2026) đang hoàn thiện thủ tục để khởi công trước ngày 31/12/2026; mỏ graphit Yên Thái và Nhà máy chế biến graphit của Công ty cổ phần Tập đoàn Graphit Việt Nam dừng hoạt động từ tháng 8/2019, nợ ngân sách khoảng 50 tỷ đồng. </w:t>
      </w:r>
      <w:r>
        <w:rPr>
          <w:rFonts w:ascii="Times New Roman" w:hAnsi="Times New Roman" w:eastAsia="Times New Roman" w:cs="Times New Roman"/>
          <w:b w:val="0"/>
          <w:i w:val="0"/>
          <w:color w:val="7030A0"/>
          <w:sz w:val="28"/>
        </w:rPr>
        <w:t>Phòng Quản lý khoáng sản bổ sung: phương án xử lý mỏ graphit Yên Thái (gia hạn, thu hồi giấy phép, tìm nhà đầu tư mới), số nợ ngân sách chính xác theo cơ quan thuế.</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val="0"/>
          <w:sz w:val="28"/>
        </w:rPr>
        <w:t>III. THAM MƯU, TỔ CHỨC THỰC HIỆN CÁC MỤC TIÊU, CHỈ TIÊU, NHIỆM VỤ LIÊN QUAN ĐẾN MỤC TIÊU TĂNG TRƯỞNG HAI CON SỐ</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Để cụ thể hóa Kịch bản tăng trưởng kinh tế năm 2026 của tỉnh (Quyết định số 420/QĐ-UBND ngày 11/02/2026), ngành Công Thương xây dựng kế hoạch hành động chi tiết với lộ trình, mục tiêu và giải pháp theo từng quý; chủ động, linh hoạt điều chỉnh, bù trừ chỉ tiêu giữa các nhóm ngành, giữa các quý (Phụ biểu kịch bản kèm theo).</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val="0"/>
          <w:sz w:val="28"/>
        </w:rPr>
        <w:t>1. Kết quả các chỉ tiêu 9 tháng đầu năm 2026</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sz w:val="28"/>
        </w:rPr>
        <w:t>1.1. Kết quả chung lĩnh vực công nghiệp</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Năm 2025: Tỷ trọng công nghiệp trong GRDP ước đạt 28,95%, duy trì vị trí thứ 3 vùng Trung du và miền núi Bắc Bộ. Giá trị sản xuất công nghiệp đạt 75.000 tỷ đồng, tăng 19,75% so với năm 2024, đạt 100% kế hoạch. Cơ cấu nội ngành chuyển dịch tích cực: công nghiệp chế biến, chế tạo chiếm 76,6%, công nghiệp khai thác giảm còn 5,5%. Nhà máy Gang thép Việt Trung tái khởi động thành công từ Quý II/2025 sau 04 năm tạm dừng.</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- 9 tháng năm 2026: Giá trị sản xuất công nghiệp ước đạt 56.678 tỷ đồng, tăng 9,9% so với cùng kỳ, bằng 100% kịch bản tăng trưởng, đạt 71,5% kế hoạch năm (Quý I đạt 15.223,7 tỷ đồng; Quý II đạt 19.188,7 tỷ đồng, bằng 103,5% kịch bản; Quý III đạt 22.265 tỷ đồng, bằng 100% kịch bản).</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Kết quả nổi bật: (1) Khởi công Cụm công nghiệp Thống Nhất 1 ngày 07/5/2026 (74,95 ha; 860 tỷ đồng; mô hình công nghiệp - logistics xanh ESG), Cụm công nghiệp Phú Thịnh 3 ngày 16/7/2026 (75 ha; khoảng 550 tỷ đồng), các Khu công nghiệp Phú Xuân, Phú Xuân 1 ngày 26/8/2026 (500 ha; 5.462 tỷ đồng). (2) Thành lập mới 1.440,29 ha khu, cụm công nghiệp, vượt gần 03 lần mục tiêu Nghị quyết số 34-NQ/TU. (3) Bộ Nông nghiệp và Môi trường cấp phép khai thác đất hiếm Bến Đền cho Công ty cổ phần Công nghiệp Khánh An. (4) Ủy ban nhân dân tỉnh chấp thuận chủ trương đầu tư dự án tái khởi động mỏ sắt Quý Xa (Công ty cổ phần Khai thác và Chế biến Kim loại Thủ Đô; 5 triệu tấn/năm; khai thác trở lại từ tháng 9/2026 sau 04 năm dừng hoạt động), 05 dự án điện mặt trời (Lào Cai 2, 3, 6, 7, 8) và 04 dự án thủy điện (Nậm Xây Nọi, Dần Thàng, Dần Thàng 2, Nậm Chày). (5) Năm 2026 đưa thêm 03 nhà máy thủy điện vào phát điện (Nậm Khóa 12, Việt Tiến, Xuân Hòa), nâng tổng số lên 108 nhà máy, tổng công suất lắp máy 1.794,1 MW; sản lượng điện năm 2025 đạt 7,6 tỷ kWh (100% kế hoạch), 10 tháng năm 2026 ước 5,9 tỷ kWh (75% kế hoạch); duy trì vận hành an toàn 107/108 nhà máy (Làng Bằng tạm dừng do bão năm 2025, dự kiến phát điện lại đầu năm 2027); lưới điện quốc gia phủ 100% số xã; triển khai đo gió Dự án Điện gió Trạm Tấu 1.</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sz w:val="28"/>
        </w:rPr>
        <w:t>1.2. Tình hình hoạt động khoáng sản</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color w:val="7030A0"/>
          <w:sz w:val="28"/>
        </w:rPr>
        <w:t>Phòng Quản lý khoáng sản rà soát, cập nhật toàn bộ mục 1.2 đến ngày 15/10/2026 và bổ sung sản lượng khai thác 9 tháng năm 2026 của các loại khoáng sản chính (apatit, đồng, sắt, đá hoa trắng, vật liệu xây dựng thông thường) so với cùng kỳ và kế hoạch.</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Apatit: 08 đơn vị được cấp 12 giấy phép khai thác, tổng công suất khoảng 6 triệu tấn quặng các loại/năm, cung cấp cho 04 nhà máy tuyển và các dự án phân bón, hóa chất cả nước (tổng nhu cầu khoảng 10,8 triệu tấn/năm; riêng các cơ sở chế biến sâu trên địa bàn tỉnh chiếm khoảng 54% nhu cầu cả nước). Thực tế chỉ 07/12 khai trường hoạt động tương đối ổn định; 03 khai trường chưa đưa vào khai thác (Khai trường 19, Cam Đường 2, 8B); 02 khai trường tạm dừng phục vụ điều tra (Khai trường 19b, 25); công suất thực tế chỉ cung cấp khoảng 310.000 tấn quặng I, 1.192.000 tấn quặng II và 1.124.637 tấn quặng III/năm.</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Đồng: 05 dự án được cấp phép (3,45 triệu tấn quặng/năm); 03 dự án đang hoạt động (Sin Quyền, Vi Kẽm, Tả Phời), 02 dự án chưa khai thác (Khe Cam, Làng Phát); quặng cung cấp cho 03 nhà máy tuyển (125.000 tấn tinh quặng/năm) và 02 nhà máy luyện (30.000 tấn đồng cathode/năm).</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xml:space="preserve">- Sắt: 14 giấy phép (7,55 triệu tấn quặng/năm) nhưng chỉ 04 mỏ hoạt động, 05 mỏ tạm dừng, 05 mỏ chưa khai thác; 08/09 nhà máy tuyển sắt đang dừng do thủ tục đất đai, môi trường, hồ thải, công nghệ hoặc thiếu quặng. Mỏ sắt Quý Xa (5 triệu tấn/năm) đã khai thác trở lại từ ngày 01/9/2026, cung cấp quặng cho Nhà máy Gang thép Lào Cai. </w:t>
      </w:r>
      <w:r>
        <w:rPr>
          <w:rFonts w:ascii="Times New Roman" w:hAnsi="Times New Roman" w:eastAsia="Times New Roman" w:cs="Times New Roman"/>
          <w:b w:val="0"/>
          <w:i w:val="0"/>
          <w:color w:val="7030A0"/>
          <w:sz w:val="28"/>
        </w:rPr>
        <w:t>Phòng Quản lý khoáng sản xác nhận: số mỏ sắt đang hoạt động đã gồm Quý Xa chưa; tình trạng từng nhà máy tuyển sắt dừng hoạt động và hướng xử lý.</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Graphit, đất hiếm và khoáng sản khác: Graphit có 03 mỏ được cấp phép (01 mỏ hết hạn, 02 mỏ còn hiệu lực, tổng công suất khoảng 398.000 tấn/năm) và 03 nhà máy tuyển (80.000 tấn/năm), tất cả đang tạm dừng do chất lượng sản phẩm chưa đáp ứng thị trường. Đất hiếm: mỏ Xuân Ái tạm dừng phục vụ điều tra; mỏ Bến Đền mới cấp phép, đang giải phóng mặt bằng, hoàn thiện thủ tục pháp lý. Đá hoa trắng có 23/35 mỏ hoạt động (12 mỏ dừng do khó khăn bãi thải, mặt bằng, chất lượng đá); chì kẽm có 06 mỏ và 03 nhà máy tuyển hoạt động tương đối ổn định.</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Khoáng sản làm vật liệu xây dựng thông thường: Theo Quy hoạch tỉnh điều chỉnh (Quyết định số 525/QĐ-UBND ngày 25/02/2026) có 279 mỏ (127 mỏ cát, sỏi; 152 mỏ đá). Hiện có 81 giấy phép khai thác còn hiệu lực (45 mỏ đá, 36 mỏ cát, sỏi), công suất tương ứng 2,841 triệu m3 và 708 nghìn m3/năm. Tổng nhu cầu vật liệu xây dựng thông thường giai đoạn 2026 - 2030 là 44.710.958 m3 (cát 16.690.360 m3; đá 28.020.598 m3) phục vụ cao tốc Nội Bài - Lào Cai, đường sắt Lào Cai - Hà Nội - Hải Phòng và các tuyến liên vùng. Công suất khai thác cát đã cấp phép chỉ đạt 8,3% trữ lượng, đáp ứng 21 - 27% nhu cầu theo năm; đá đạt 6,9% trữ lượng, đáp ứng 44 - 51% nhu cầu; nguyên nhân do công suất mỏ hạn chế, vướng quy định pháp luật (chồng chéo giữa Bộ luật Hình sự và xử phạt vi phạm hành chính, thủ tục gia hạn mỏ cũ), mỏ thuộc khu vực cấm, tạm cấm hoặc chồng lấn quy hoạch khác, chậm hoàn thiện thủ tục cấp phép.</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sz w:val="28"/>
        </w:rPr>
        <w:t>1.3. Tình hình triển khai các dự án nguồn điện, lưới điện</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xml:space="preserve">- Thủy điện: 199 dự án (2.977 MW); đã phát điện 108 dự án; đang thi công 15 dự án; đã chấp thuận chủ trương đầu tư 19 dự án; 57 dự án trong quy hoạch chưa có nhà đầu tư (gồm 05 dự án trên sông Hồng: An Bình, An Thịnh, Việt Thành, Thái Niên, Bảo Hà). Năm 2026 phấn đấu hoàn thành phát điện Nhà máy thủy điện Hồ Bốn 2 (5 MW) và Nhà máy thủy điện Lán Bò (7,6 MW). </w:t>
      </w:r>
      <w:r>
        <w:rPr>
          <w:rFonts w:ascii="Times New Roman" w:hAnsi="Times New Roman" w:eastAsia="Times New Roman" w:cs="Times New Roman"/>
          <w:b w:val="0"/>
          <w:i w:val="0"/>
          <w:color w:val="7030A0"/>
          <w:sz w:val="28"/>
        </w:rPr>
        <w:t>Phòng Quản lý năng lượng cập nhật: tiến độ thực tế, khối lượng hoàn thành và thời điểm dự kiến hòa lưới của thủy điện Hồ Bốn 2, Lán Bò; tình trạng 16 dự án (202,4 MW) đã chấp thuận chủ trương đầu tư nhưng chưa khởi công.</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Điện sinh khối: 04 dự án (208 MW); Điện sinh khối Yên Bái 1 đang thi công; Điện sinh khối Trường Minh quá hạn tiến độ; Điện sinh khối Bảo Thắng và Lục Yên chưa có chủ trương đầu tư.</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Điện gió trên bờ: 03 dự án (360 MW) gồm Nậm Búng, Trạm Tấu, Trạm Tấu 1 (đang mời gọi đầu tư, kể cả doanh nghiệp huyện Hà Khẩu, Trung Quốc).</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Điện mặt trời: 16 dự án tập trung (1.761 MW); các dự án Lào Cai 2, 3, 6, 7, 8 đã chấp thuận chủ trương đầu tư; các dự án Yên Bình, nổi hồ Thác Bà, Mỹ Gia 2 chờ điều chỉnh khoanh vùng bảo vệ di tích hồ Thác Bà. Điện mặt trời mái nhà đã lắp khoảng 19 MW/1.104 MW quy hoạch.</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Điện rác: 13 MW (Lào Cai 6 MW, Bảo Thắng 6 MW, 1 MW chưa phân bổ); đang có doanh nghiệp nghiên cứu.</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xml:space="preserve">- Lưới điện: 01 Trạm biến áp 500 kV Lào Cai (2x900 MVA, tổng 1.800 MVA) và đường dây 500 kV Lào Cai - Vĩnh Yên (140 km đoạn qua tỉnh); 04 trạm biến áp 220 kV Lào Cai (2x250 MVA), Bảo Thắng (2x250 MVA), Yên Bái (2x125 MVA), Nghĩa Lộ (1x250 MVA), tổng 1.500 MVA, đường dây 220 kV khoảng 389 km; 19 trạm biến áp 110 kV với 31 máy, tổng công suất 1.577 MVA (15 trạm tài sản ngành điện, 02 trạm tài sản khách hàng), đường dây 110 kV 694,59 km; đường dây trung áp 6.270 km, hạ áp 7.918,84 km. Công suất tiêu thụ cực đại năm 2025 là 771 MW, dự kiến năm 2026 là 886 MW. Lưới điện hiện tại bảo đảm cấp đủ nguồn cho phụ tải trên địa bàn. Tỷ lệ hộ được sử dụng điện lưới quốc gia đến hết tháng 9/2026 đạt 96,8%. </w:t>
      </w:r>
      <w:r>
        <w:rPr>
          <w:rFonts w:ascii="Times New Roman" w:hAnsi="Times New Roman" w:eastAsia="Times New Roman" w:cs="Times New Roman"/>
          <w:b w:val="0"/>
          <w:i w:val="0"/>
          <w:color w:val="7030A0"/>
          <w:sz w:val="28"/>
        </w:rPr>
        <w:t>Phòng Quản lý năng lượng thống nhất: (1) số trạm 110 kV (số liệu Phòng gửi ngày 18/10 là 19 trạm/31 máy/1.577 MVA; dự thảo cũ ghi 18 trạm/1.640 MVA); (2) một con số tỷ lệ hộ dùng điện (dự thảo có 98,6% tại mục 1.1, 96,8% tại mục 1.3 và 94,5% "hộ dùng điện an toàn" tại Phụ lục 01) kèm mốc thời gian.</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Bảo đảm cấp điện cho các khu, cụm công nghiệp mới (số liệu Phòng Quản lý năng lượng ngày 18/10/2026): ngành điện đang xây dựng bổ sung 05 trạm biến áp lớn, tổng công suất 605 MVA (02 trạm 220 kV Bát Xát, Lục Yên; 03 trạm 110 kV Âu Lâu, Bắc Hà, Bản Qua) và đề xuất xây dựng Trạm biến áp 110 kV Nhà máy Thép (2x63 MVA), Trạm biến áp 110 kV Cam Cọn (40 MVA). Phương án cụ thể: Khu công nghiệp Phú Xuân, Phú Xuân 1: chủ đầu tư đề xuất tự xây dựng Trạm biến áp 110 kV Khu công nghiệp Phú Xuân (01 máy 63 MVA) và đường dây 110 kV đấu nối vào cột 21 đường dây 110 kV Thủy điện Tà Thàng - Tằng Loỏng 2. Khu công nghiệp Võ Lao (nhu cầu dự kiến 200 MW): xây dựng Trạm biến áp 110 kV Khu công nghiệp Võ Lao theo Quy hoạch 525, đề nghị tỉnh điều chỉnh quy mô từ 02 lên 04 máy 63 MVA; xây dựng đường dây 04 mạch đấu nối chuyển tiếp trên đường dây 110 kV mạch kép Bảo Thắng - Văn Bàn. Khu công nghiệp Cam Đường (22,83 MW) và Cụm công nghiệp Thống Nhất 1 (17 MW): mỗi khu, cụm cấp điện bằng 02 tuyến 22 kV từ Trạm biến áp 110 kV Nam Thành phố (hiện 1x40 MVA) và lưới 22 kV hiện có, đồng thời lắp bổ sung máy thứ hai 40 MVA tại Trạm 110 kV Nam Thành phố khi phụ tải phát triển; giai đoạn 2026 - 2030 khu vực Cam Đường quy hoạch thêm Trạm biến áp 110 kV Cụm công nghiệp Thống Nhất 1 (40 MVA) và Trạm biến áp 110 kV Cụm công nghiệp Cam Đường 1, Cam Đường 2 (40 MVA). Cụm công nghiệp Khánh Yên Thượng và khu vực mỏ Quý Xa: trước mắt cấp từ lưới trung áp Trạm biến áp 110 kV Văn Bàn; khi có công suất cụ thể sẽ nâng công suất trạm Văn Bàn hoặc xây dựng Trạm biến áp 110 kV Cụm công nghiệp Khánh Yên Thượng theo quy hoạch. Khu công nghiệp Bản Qua: cấp từ Trạm biến áp 110 kV Bản Qua đang xây dựng. Theo hiện trạng, nhu cầu phụ tải và phương án cấp điện theo quy hoạch giai đoạn 2026 - 2030, lưới điện bảo đảm cấp điện ổn định cho sản xuất, kinh doanh của doanh nghiệp.</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Quy hoạch lưới điện giai đoạn 2026 - 2030: xây dựng mới Trạm biến áp 500 kV Yên Bái (1.800 MVA) và đường dây 500 kV đấu nối; Trạm chuyển đổi AC/DC/AC (Back-To-Back) 500 kV Lào Cai (3.000 MVA) và đường dây 500 kV; 06 tuyến đường dây 500 kV; 08 trạm biến áp 220 kV (3.250 MVA) và các tuyến đường dây; 63 trạm biến áp 110 kV xây mới, cải tạo nâng công suất 18 trạm (4.120 MVA), 01 trạm cắt 110 kV; xây mới, cải tạo 102 tuyến đường dây 110 kV (1.496,25 km).</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xml:space="preserve">- Dự án trọng điểm quốc gia ngành năng lượng: theo Quyết định số 2634/QĐ-TTg ngày 02/12/2025 của Thủ tướng Chính phủ, trên địa bàn tỉnh có 05 dự án do Tổng công ty Truyền tải điện Quốc gia làm chủ đầu tư: (1) Trạm biến áp 220 kV Nghĩa Lộ và đường dây 220 kV Nghĩa Lộ - Việt Trì: đã đóng điện ngày 18/01/2026, còn vướng thủ tục chấp thuận chủ trương đầu tư để giao đất, cho thuê đất (đề nghị tháo gỡ theo Điều 15 Nghị quyết số 29/2026/QH16); (2) Đường dây 220 kV Than Uyên - Trạm 500 kV Lào Cai: thi công từ tháng 8/2025, đã xong 98/148 móng, 91/148 cột, bàn giao mặt bằng 146/148 vị trí; đã điều chỉnh hướng tuyến đoạn chồng lấn quy hoạch khoáng sản, Khu công nghiệp Võ Lao và đường sắt (Văn bản số 1599/UBND-KT ngày 06/3/2026); (3) Đường dây 500 kV Than Uyên - Yên Bái (2x170 km): đang xin chấp thuận chủ trương đầu tư; (4) Trạm biến áp 500 kV Yên Bái (1.800 MVA) và đường dây đấu nối: chấp thuận chủ trương đầu tư tại Quyết định số 2182/QĐ-UBND ngày 23/6/2026, đang lập Báo cáo nghiên cứu khả thi, dự kiến khởi công Quý III/2027, đóng điện Quý IV/2028; (5) Đường dây 500 kV Yên Bái - Thái Nguyên (đoạn qua tỉnh 1,4 km): Ủy ban nhân dân tỉnh Tuyên Quang chấp thuận chủ trương đầu tư tại Quyết định số 2201/QĐ-UBND ngày 07/9/2026, dự kiến khởi công Quý IV/2027, đóng điện Quý IV/2028. </w:t>
      </w:r>
      <w:r>
        <w:rPr>
          <w:rFonts w:ascii="Times New Roman" w:hAnsi="Times New Roman" w:eastAsia="Times New Roman" w:cs="Times New Roman"/>
          <w:b w:val="0"/>
          <w:i w:val="0"/>
          <w:color w:val="7030A0"/>
          <w:sz w:val="28"/>
        </w:rPr>
        <w:t>Phòng Quản lý năng lượng bổ sung mốc hoàn thành dự kiến của 05 trạm biến áp đang xây dựng (Bát Xát, Lục Yên, Âu Lâu, Bắc Hà, Bản Qua).</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sz w:val="28"/>
        </w:rPr>
        <w:t>1.4. Lĩnh vực thương mại nội địa</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Năm 2025: Tổng mức bán lẻ hàng hóa và doanh thu dịch vụ tiêu dùng đạt 85.000 tỷ đồng, tăng 17,1% so với năm 2024, đạt 100% kế hoạch.</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- 9 tháng năm 2026: Ước đạt 70.000 tỷ đồng, tăng 25% so với cùng kỳ, bằng 100% kịch bản tăng trưởng, đạt 73% kế hoạch năm (96.000 tỷ đồng); Quý I đạt 22.000 tỷ đồng, Quý II đạt 23.120 tỷ đồng, Quý III đạt 24.690 tỷ đồng (đều bằng 100% kịch bản). Hạ tầng thương mại duy trì hiệu quả: 04 trung tâm thương mại, 10 siêu thị, 159 chợ, 01 kho xăng dầu và 224 cửa hàng bán lẻ xăng dầu; cung cầu, giá cả hàng hóa ổn định nhờ chủ động điều tiết trước biến động giá xăng dầu thế giới.</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Quản lý thị trường: Với vai trò cơ quan thường trực Ban Chỉ đạo 389 tỉnh, Sở phối hợp kiểm soát tốt thị trường, nhất là trên nền tảng thương mại điện tử. Năm 2025 kiểm tra 1.033 vụ, xử lý 899 vụ với 917 hành vi vi phạm (chủ yếu về an toàn thực phẩm, nhãn hiệu, hàng không rõ nguồn gốc, găm hàng), tổng giá trị xử lý (phạt tiền, tịch thu, tiêu hủy) gần 12,8 tỷ đồng. 9 tháng năm 2026 kiểm tra 706 vụ, xử lý 633 vụ, tổng giá trị xử lý khoảng 11,03 tỷ đồng.</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Chính sách kinh tế số, thương mại điện tử: Ngày 07/9/2026, Sở có Báo cáo số 5446/BC-SCT đề nghị điều chỉnh tên gọi thành "Nghị quyết quy định một số chính sách hỗ trợ đặc thù thúc đẩy phát triển kinh tế số, thương mại điện tử trên địa bàn tỉnh Lào Cai giai đoạn 2026 - 2030"; Ủy ban nhân dân tỉnh thống nhất chủ trương tại Văn bản số 9148/UBND-NC ngày 09/9/2026. Sở hoàn thiện dự thảo, Tờ trình, hồ sơ gửi thẩm định trong tháng 10/2026, phấn đấu trình Ủy ban nhân dân tỉnh trong tháng 11/2026 để trình Hội đồng nhân dân tỉnh tại kỳ họp cuối năm.</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sz w:val="28"/>
        </w:rPr>
        <w:t>1.5. Lĩnh vực xuất nhập khẩu</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Năm 2025: Hoạt động biên mậu sụt giảm sâu do chuỗi logistics và biến động mặt hàng trái cây xuất khẩu (sầu riêng giảm khoảng 97%); tổng kim ngạch đạt 3.190 triệu USD, giảm 16,12% so với năm 2024, đạt 79,7% kế hoạch.</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xml:space="preserve">- 9 tháng năm 2026: Khởi sắc mạnh vào vụ vải thiều và hàng nông sản chính ngạch; phương tiện thông quan tại Cửa khẩu quốc tế đường bộ số II Kim Thành duy trì trên 400 xe/ngày; cửa khẩu ga đường sắt duy trì 01 - 02 chuyến tàu/ngày (chủ yếu lưu huỳnh quá cảnh, phân bón và thép cuộn nhập khẩu). Tổng giá trị xuất nhập khẩu, mua bán, trao đổi hàng hóa qua các cửa khẩu 9 tháng ước đạt 2.993,05 triệu USD, tăng 34,83% so với cùng kỳ, bằng 101% kịch bản tăng trưởng, đạt 48,7% kế hoạch (6.140 triệu USD). </w:t>
      </w:r>
      <w:r>
        <w:rPr>
          <w:rFonts w:ascii="Times New Roman" w:hAnsi="Times New Roman" w:eastAsia="Times New Roman" w:cs="Times New Roman"/>
          <w:b w:val="0"/>
          <w:i w:val="0"/>
          <w:color w:val="7030A0"/>
          <w:sz w:val="28"/>
        </w:rPr>
        <w:t>Phòng Quản lý thương mại thống nhất số liệu xuất nhập khẩu giữa báo cáo (9 tháng 2.993,05 triệu USD) và Phụ biểu kịch bản (Quý I 758,65; Quý II 996,6; Quý III 1.100 triệu USD, cộng 2.855,25 triệu USD).</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Cấp Giấy chứng nhận xuất xứ hàng hóa (C/O): Sở chính thức cấp C/O và văn bản chấp thuận từ ngày 01/02/2026; đến nay đã cấp C/O cho trên 680 nghìn tấn hàng hóa, trị giá trên 500 triệu USD cho doanh nghiệp trong và ngoài tỉnh, tập trung các mẫu cho thị trường Trung Quốc, ASEAN, Ấn Độ, Trung Đông, Hoa Kỳ, Đài Loan.</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Đề án thí điểm Khu hợp tác kinh tế qua biên giới: Ngày 28/9/2026, Chính phủ họp về Đề án tại Cửa khẩu quốc tế đường bộ Lào Cai, giao Ủy ban nhân dân tỉnh chủ trì, phối hợp Bộ Tài chính, Bộ Công Thương rà soát hệ thống mục tiêu, danh mục dự án, điều chỉnh hồ sơ Đề án, dự thảo Tờ trình, dự thảo Quyết định bám sát pháp luật hiện hành (Thông báo số 512/TB-VPCP ngày 02/10/2026); cơ chế cần thiết nhưng vượt khuôn khổ pháp luật sẽ lập hồ sơ đề xuất chính sách riêng. Ngày 13/10/2026, Sở đã phối hợp đơn vị tư vấn và Bộ Tài chính hoàn thiện hồ sơ Đề án, có Tờ trình đề nghị Ủy ban nhân dân tỉnh phê duyệt nội dung Đề án và dự thảo báo cáo Bộ Tài chính.</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val="0"/>
          <w:sz w:val="28"/>
        </w:rPr>
        <w:t>2. Các chỉ tiêu tăng trưởng năm 2026</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sz w:val="28"/>
        </w:rPr>
        <w:t>2.1. Giá trị sản xuất công nghiệp</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Kế hoạch năm 2026 là 79.252 tỷ đồng (công nghiệp khai thác 2.873 tỷ đồng; chế biến, chế tạo 61.369 tỷ đồng; sản xuất, phân phối điện, nước 15.010 tỷ đồng); chỉ số sản xuất công nghiệp cả năm phấn đấu đạt 112%, bằng 100% kế hoạch. Quý IV dự kiến đạt đỉnh với 22.575 tỷ đồng: các nhà máy hoạt động ổn định, tăng tốc hoàn thành kế hoạch; hoàn thành phát điện thủy điện Hồ Bốn 2 (5 MW), Lán Bò (7,6 MW); đón năng lực sản xuất mới từ 07 dự án chế biến sâu đã hoàn thành hoặc cơ bản hoàn thành đầu tư (01 dự án đã vận hành chính thức, 06 dự án có khả năng vận hành sau khi hoàn thiện thủ tục):</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(1) Nhà máy sản xuất và chế biến quế hữu cơ Bảo Thắng (Công ty cổ phần Sản xuất và Xuất khẩu Quế Hồi Việt Nam): đang hoàn thiện lắp đặt dây chuyền sấy, tháp trưng; dự kiến đầu tháng 11/2026 hoạt động; đóng góp thêm khoảng 30 tỷ đồng trong 02 tháng cuối năm.</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(2) Nhà máy sản xuất benzaldehyde (Công ty TNHH MTV Triều Dương): đã hoàn thành đầu tư, được Bộ Công Thương cấp Giấy chứng nhận đủ điều kiện sản xuất, kinh doanh hóa chất; đang lập hồ sơ đề nghị cấp phép tồn chứa hóa chất, Sở sẽ tham mưu Ủy ban nhân dân tỉnh ngay khi tiếp nhận hồ sơ; dự kiến hoạt động trong Quý IV/2026; đóng góp thêm khoảng 23 tỷ đồng trong 03 tháng.</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(3) Dây chuyền sản xuất DCP và MAP 50.000 tấn/năm (Công ty cổ phần Hóa chất Yên Bái): đã lắp đặt xong thiết bị, chạy thử không tải cuối tháng 9/2026, dự kiến sản xuất từ tháng 10/2026; khó khăn về nguồn axit khan hiếm, đang tìm nguồn nhập khẩu; đóng góp thêm khoảng 117 tỷ đồng trong 03 tháng.</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(4) Nhà máy xử lý chất thải công nghiệp và nguy hại 720.000 tấn/năm (Công ty cổ phần Dịch vụ Xử lý môi trường xanh Việt Sơn): đang hoàn thiện báo cáo đánh giá tác động môi trường điều chỉnh, thiết kế phòng cháy và chữa cháy; hoàn thành trong Quý IV/2026; đóng góp thêm khoảng 5,6 tỷ đồng trong 02 tháng.</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(5) Nhà máy nghiền xỉ phốt pho, xỉ lò cao 1.000.000 tấn/năm (Công ty cổ phần Sản xuất và Thương mại Lao Kay): dây chuyền số 1 đang chạy thử, hiệu chỉnh thiết bị; chủ đầu tư phối hợp Ban Quản lý Khu kinh tế tỉnh kiểm tra công tác nghiệm thu trước khi đưa vào sử dụng; đóng góp thêm khoảng 7,5 tỷ đồng trong 03 tháng.</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(6) Nhà máy tuyển quặng apatit nghèo 200.000 tấn/năm (Công ty Anh Nhẫn Lào Cai): đã nghiệm thu, đưa vào vận hành chính thức; phấn đấu sản xuất tối thiểu 30.000 tấn tinh quặng trong Quý IV/2026; đóng góp thêm khoảng 6 tỷ đồng.</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(7) Nhà máy sản xuất axit điện tử 60.000 tấn/năm (Công ty TNHH MTV Đức Giang Lào Cai): Ban Quản lý Khu kinh tế tỉnh hướng dẫn hoàn thiện hồ sơ kiểm tra công tác nghiệm thu; Sở phối hợp Cục Hóa chất (Bộ Công Thương) giải quyết thủ tục cấp phép đủ điều kiện sản xuất hóa chất; hoạt động trong Quý IV/2026; đóng góp thêm khoảng 120 tỷ đồng trong tháng 12/2026.</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Tổng cộng 07 dự án dự kiến đóng góp thêm khoảng 309 tỷ đồng giá trị sản xuất công nghiệp trong Quý IV/2026.</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sz w:val="28"/>
        </w:rPr>
        <w:t>2.2. Tổng mức bán lẻ hàng hóa và doanh thu dịch vụ tiêu dùng</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xml:space="preserve">Kế hoạch năm 2026 là 96.000 tỷ đồng, phấn đấu hoàn thành 100%. Quý IV dự kiến đạt mức cao nhất năm khi thị trường bước vào cao điểm mua sắm cuối năm, chuẩn bị Tết Dương lịch, Tết Nguyên đán 2027 (dự thảo báo cáo ghi 26.960 tỷ đồng; Phụ biểu kịch bản ghi 26.220 tỷ đồng). </w:t>
      </w:r>
      <w:r>
        <w:rPr>
          <w:rFonts w:ascii="Times New Roman" w:hAnsi="Times New Roman" w:eastAsia="Times New Roman" w:cs="Times New Roman"/>
          <w:b w:val="0"/>
          <w:i w:val="0"/>
          <w:color w:val="7030A0"/>
          <w:sz w:val="28"/>
        </w:rPr>
        <w:t>Phòng Quản lý thương mại thống nhất số kịch bản Quý IV.</w:t>
      </w:r>
      <w:r>
        <w:rPr>
          <w:rFonts w:ascii="Times New Roman" w:hAnsi="Times New Roman" w:eastAsia="Times New Roman" w:cs="Times New Roman"/>
          <w:b w:val="0"/>
          <w:i w:val="0"/>
          <w:sz w:val="28"/>
        </w:rPr>
        <w:t xml:space="preserve"> Giải pháp: dự trữ, bình ổn thị trường hàng thiết yếu và xăng dầu; Chương trình khuyến mại tập trung quốc gia tháng 12/2026; Hội chợ thương mại biên giới Trung - Việt năm 2026; đưa hàng Việt về nông thôn; cao điểm kiểm tra, kiểm soát thị trường.</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sz w:val="28"/>
        </w:rPr>
        <w:t>2.3. Tổng giá trị hàng hóa xuất nhập khẩu qua địa bàn</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Chỉ tiêu giao đầu năm 2026 là 6.140 triệu USD, rất cao so với năng lực hạ tầng, logistics và diễn biến thị trường; Ủy ban nhân dân tỉnh đã ban hành Kế hoạch số 400/KH-UBND ngày 21/8/2026 điều chỉnh mục tiêu xuất nhập khẩu năm 2026 còn 4.171 triệu USD. Quý IV phấn đấu đạt 1.200 triệu USD; ước cả năm đạt 4.171 triệu USD, tăng 30,8% so với năm 2025, bằng 68% kế hoạch giao đầu năm và 100% mục tiêu điều chỉnh.</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val="0"/>
          <w:sz w:val="28"/>
        </w:rPr>
        <w:t>IV. ĐÁNH GIÁ CHUNG</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val="0"/>
          <w:sz w:val="28"/>
        </w:rPr>
        <w:t>1. Tổng quan</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Năm 2025, bám sát các chỉ tiêu được giao tại nghị quyết của Hội đồng nhân dân tỉnh và quyết định của Ủy ban nhân dân tỉnh, toàn ngành đã nỗ lực vượt qua tác động của thiên tai và biến động thị trường, hoàn thành 02/03 chỉ tiêu kế hoạch. Sản xuất công nghiệp và thương mại nội địa đều hoàn thành 100% kế hoạch, duy trì tăng trưởng hai con số (19,75% và 17,1%); cơ cấu nội ngành chuyển dịch theo hướng chế biến sâu; hạ tầng năng lượng được củng cố. Xuất nhập khẩu gặp nhiều khó khăn, chỉ đạt xấp xỉ 80% kế hoạch; vướng mắc kéo dài về quy hoạch chồng chéo và thủ tục đất đai tại các dự án khoáng sản, cụm công nghiệp là "điểm nghẽn" lớn, kìm hãm năng lực sản xuất mới.</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- 9 tháng năm 2026, ngành Công Thương giữ đà tăng trưởng tích cực trên cả ba lĩnh vực then chốt: sản xuất công nghiệp duy trì vai trò chủ đạo của khai khoáng, chế biến, chế tạo, hệ thống thủy điện vận hành an toàn; thương mại nội địa tăng trưởng cao, cung cầu, giá cả ổn định; xuất nhập khẩu bứt phá nhờ các mặt hàng nông sản chủ lực qua các cửa khẩu quốc tế. Đặc biệt, năm 2026 là năm tạo đột phá về không gian công nghiệp với 05 khu công nghiệp mới được chấp thuận chủ trương đầu tư và 03 cụm công nghiệp được thành lập.</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val="0"/>
          <w:sz w:val="28"/>
        </w:rPr>
        <w:t>2. Ưu điểm</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Bộ máy quản lý ngành Công Thương sau hợp nhất được sắp xếp tinh gọn, nhanh chóng ổn định, vận hành thông suốt, không gián đoạn quản lý nhà nước chuyên ngành; tiếp nhận và tổ chức ngay chức năng quản lý địa chất, khoáng sản.</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Công tác tham mưu các đề án, chiến lược đột phá (Nghị quyết số 34-NQ/TU, Đề án số 08-ĐA/TU, Bài toán lớn số 2, Đề án Khu hợp tác kinh tế qua biên giới, Nghị quyết chính sách kinh tế số, thương mại điện tử) chủ động, quyết liệt, kịp thời. Thủ tục hành chính được cắt giảm mạnh, 100% hồ sơ giải quyết đúng hạn; tiếp công dân, giải quyết khiếu nại về mỏ được thực hiện dứt điểm, không phát sinh điểm nóng.</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Các chỉ tiêu tăng trưởng 9 tháng năm 2026 đều đạt hoặc vượt kịch bản; thu phí vượt 90% dự toán; giải ngân đầu tư công đạt 58% và có khả năng hoàn thành 100% kế hoạch.</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val="0"/>
          <w:sz w:val="28"/>
        </w:rPr>
        <w:t>3. Khó khăn, vướng mắc</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sz w:val="28"/>
        </w:rPr>
        <w:t>3.1. Khó khăn chung sau sáp nhập địa giới hành chính và vận hành mô hình chính quyền hai cấp</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Thiếu hụt cán bộ có kinh nghiệm chuyên sâu: 09 lãnh đạo Sở, trưởng, phó phòng nghỉ hưu trước tuổi hoặc thôi việc theo Nghị định số 178/2024/NĐ-CP; đội ngũ kế cận chưa có nhiều thời gian cọ xát thực tiễn, ảnh hưởng chất lượng tham mưu và thời gian xử lý hồ sơ.</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Áp lực bộ máy và khối lượng công việc: đối tượng quản lý tăng gấp đôi sau sáp nhập, cộng thêm chức năng khoáng sản; biên chế giảm theo lộ trình, dẫn đến quá tải; nhiều xã, phường thiếu hoặc không có cán bộ đúng chuyên môn công thương; năng lực công chức chưa đồng đều.</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Đồng bộ hóa dữ liệu, quy trình: việc đồng bộ quy trình xử lý công việc, thủ tục hành chính, cơ sở dữ liệu kinh tế giữa hai đơn vị hành chính cũ còn khó khăn; hệ thống dịch vụ công thiếu chức năng thống kê thủ tục một phần, toàn trình; hồ sơ người dân rút không được ghi nhận; dữ liệu Cổng Dịch vụ công quốc gia hay mất đồng bộ, hệ thống thiếu ổn định.</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Bối cảnh bên ngoài: xung đột Trung Đông đẩy chi phí nhiên liệu, vận tải, logistics tăng cao; chi phí đầu vào tăng nhanh hơn giá đầu ra, giảm lợi nhuận doanh nghiệp.</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sz w:val="28"/>
        </w:rPr>
        <w:t>3.2. Khó khăn theo từng lĩnh vực</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sz w:val="28"/>
        </w:rPr>
        <w:t>a) Lĩnh vực công nghiệp, khoáng sản, năng lượng</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Lào Cai là tỉnh miền núi, địa bàn chia cắt, điều kiện tự nhiên phức tạp nên thu hút đầu tư hạ tầng và phát triển công nghiệp gặp khó khăn; chế biến khoáng sản mới dừng ở sản phẩm trung gian (phôi thép, đồng tấm, phốt pho vàng), chưa tạo sản phẩm cuối cùng giá trị cao; công nghiệp hỗ trợ gần như chưa phát triển.</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xml:space="preserve">- Khoáng sản: Apatit vướng giải phóng mặt bằng, thuê đất, tái định cư và quy hoạch (tranh chấp 6,28 ha tại Khai trường 19; thiếu đất tái định cư Hợp Thành; chồng lấn Khai trường 19b với Nhà máy tuyển Bắc Nhạc Sơn, Khai trường 39, 40 với Khu công nghiệp Võ Lao, Khai trường 27, 28, 29 với khu cửa khẩu Bản Vược); một số khu vực chưa cập nhật loại quặng, trữ lượng, tiến độ trong quy hoạch; tuyển nổi chỉ thu hồi 70 - 76% </w:t>
      </w:r>
      <w:r>
        <w:rPr>
          <w:rFonts w:ascii="Times New Roman" w:hAnsi="Times New Roman" w:eastAsia="Times New Roman" w:cs="Times New Roman"/>
          <w:b w:val="0"/>
          <w:i w:val="0"/>
          <w:sz w:val="28"/>
        </w:rPr>
        <w:t>P</w:t>
      </w:r>
      <w:r>
        <w:rPr>
          <w:rFonts w:ascii="Times New Roman" w:hAnsi="Times New Roman" w:eastAsia="Times New Roman" w:cs="Times New Roman"/>
          <w:b w:val="0"/>
          <w:i w:val="0"/>
          <w:sz w:val="28"/>
          <w:vertAlign w:val="subscript"/>
        </w:rPr>
        <w:t>2</w:t>
      </w:r>
      <w:r>
        <w:rPr>
          <w:rFonts w:ascii="Times New Roman" w:hAnsi="Times New Roman" w:eastAsia="Times New Roman" w:cs="Times New Roman"/>
          <w:b w:val="0"/>
          <w:i w:val="0"/>
          <w:sz w:val="28"/>
        </w:rPr>
        <w:t>O</w:t>
      </w:r>
      <w:r>
        <w:rPr>
          <w:rFonts w:ascii="Times New Roman" w:hAnsi="Times New Roman" w:eastAsia="Times New Roman" w:cs="Times New Roman"/>
          <w:b w:val="0"/>
          <w:i w:val="0"/>
          <w:sz w:val="28"/>
          <w:vertAlign w:val="subscript"/>
        </w:rPr>
        <w:t>5</w:t>
      </w:r>
      <w:r>
        <w:rPr>
          <w:rFonts w:ascii="Times New Roman" w:hAnsi="Times New Roman" w:eastAsia="Times New Roman" w:cs="Times New Roman"/>
          <w:b w:val="0"/>
          <w:i w:val="0"/>
          <w:sz w:val="28"/>
        </w:rPr>
        <w:t xml:space="preserve">, thải ướt cần hồ chứa lớn. Đồng: thiếu tinh quặng, phải mua bổ sung từ mỏ Núi Pháo; quặng chứa tạp chất; thiếu dự án cán kéo đồng chế biến sâu; vướng mặt bằng, công nghệ tuyển. Sắt: 08/09 nhà máy tuyển dừng, nguồn tinh quặng cho luyện kim không ổn định. Graphit: toàn bộ dự án tạm dừng do chất lượng sản phẩm. Đá hoa trắng: 12/35 mỏ dừng hoạt động. Vật liệu xây dựng thông thường: công suất cấp phép chỉ đáp ứng 21 - 27% nhu cầu cát và 44 - 51% nhu cầu đá. </w:t>
      </w:r>
      <w:r>
        <w:rPr>
          <w:rFonts w:ascii="Times New Roman" w:hAnsi="Times New Roman" w:eastAsia="Times New Roman" w:cs="Times New Roman"/>
          <w:b w:val="0"/>
          <w:i w:val="0"/>
          <w:color w:val="7030A0"/>
          <w:sz w:val="28"/>
        </w:rPr>
        <w:t>Phòng Quản lý khoáng sản bổ sung vướng mắc mới phát sinh sau khi tiếp nhận chức năng (xử lý quặng tồn của Công ty VTM tại mỏ Quý Xa; thủ tục dự án khai thác apatit của Công ty cổ phần Phân lân nung chảy Lào Cai cung cấp cho Khu công nghiệp Võ Lao; hồ sơ gia hạn, cấp lại giấy phép tồn đọng; nhân lực của Phòng).</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Khu, cụm công nghiệp: Bồi thường, giải phóng mặt bằng vướng mắc kéo dài tại các Khu công nghiệp Phía Nam, Minh Quân, Âu Lâu, Trấn Yên, các Cụm công nghiệp Phú Thịnh 1, Phú Thịnh 2, Phú Thịnh 3, Minh Quân, Y Can và các công trình lưới điện truyền tải, hồ chứa quặng đuôi; 72,23 ha đất có nguồn gốc của Công ty cổ phần Chè Văn Hưng tại các Cụm công nghiệp Phú Thịnh 1, Phú Thịnh 2, Phú Thịnh 3 tồn tại từ năm 2016 chưa giải quyết dứt điểm; năng lực một số chủ đầu tư hạ tầng hạn chế (Cụm công nghiệp Minh Quân thành lập năm 2019, Phú Thịnh 1 thành lập năm 2022 chưa khởi công). Tại 05 khu công nghiệp mới: nhân lực đo đạc, kiểm đếm của cấp xã mỏng; khu tái định cư chưa hoàn thành; hạ tầng ngoài hàng rào (điện, nước thô, đường kết nối) chưa đồng bộ; Nghị định số 303/2026/NĐ-CP khống chế diện tích cụm công nghiệp tối đa 75 ha và ràng buộc tỷ lệ lấp đầy, gây khó cho việc thành lập cụm quy mô lớn.</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xml:space="preserve">- Năng lượng: (1) Dự án đã phát điện (Nậm Lúc, Tu Trên, Suối Chăn 1...) gặp khó về đất đai, tài nguyên nước, bồi lắng lòng hồ, nạo vét, thu hồi khoáng sản, lưới điện chưa đồng bộ với nguồn. (2) Dự án đang thi công vướng đất đai, giải phóng mặt bằng, chuyển mục đích sử dụng đất, rừng, khoáng sản và thủ tục chuyên ngành; thủy điện Bản Lìu, Chấn Thịnh phải dừng thi công; Chấn Thịnh chồng lấn Quy hoạch khoáng sản 866; Tân Lĩnh bị ảnh hưởng do lưới truyền tải chưa đồng bộ. (3) 16 dự án (202,4 MW) đã chấp thuận chủ trương đầu tư nhưng chưa khởi công do phải thực hiện đồng thời nhiều thủ tục; thủy điện Nậm Pươi chồng lấn quy hoạch khoáng sản. (4) Lưới điện truyền tải, trạm 110 kV cấp cho các khu công nghiệp mới chậm so với nhu cầu; cấp điện nông thôn vướng giải phóng mặt bằng, đo đạc địa chính tại 06 thôn. </w:t>
      </w:r>
      <w:r>
        <w:rPr>
          <w:rFonts w:ascii="Times New Roman" w:hAnsi="Times New Roman" w:eastAsia="Times New Roman" w:cs="Times New Roman"/>
          <w:b w:val="0"/>
          <w:i w:val="0"/>
          <w:color w:val="7030A0"/>
          <w:sz w:val="28"/>
        </w:rPr>
        <w:t>Phòng Quản lý năng lượng bổ sung vướng mắc cụ thể về giá điện, cơ chế đấu thầu lựa chọn nhà đầu tư thủy điện, tiến độ các dự án lưới điện của Tập đoàn Điện lực Việt Nam trên địa bàn.</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sz w:val="28"/>
        </w:rPr>
        <w:t>b) Lĩnh vực thương mại nội địa</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Nguồn vốn ngân sách cho xây mới, nâng cấp chợ còn thiếu; khu vực miền núi, vùng sâu, vùng xa khó thu hút vốn xã hội hóa; nguồn thu tại chợ không đủ bù đắp chi phí quản lý, duy tu. Quy định về đầu tư, khai thác chợ chưa theo kịp thực tiễn; nhiều chợ truyền thống xuống cấp, thiếu thoát nước, xử lý chất thải, phòng cháy và chữa cháy, an toàn thực phẩm.</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Hoạt động chợ truyền thống suy giảm do sức mua yếu, cạnh tranh từ siêu thị, cửa hàng tiện lợi, thương mại điện tử. Quản lý khuyến mại, thương mại điện tử khó kiểm soát chủ thể giao dịch, nguồn gốc, xuất xứ, chất lượng hàng hóa. Giá xăng dầu chịu tác động thị trường quốc tế, ảnh hưởng chi phí sinh hoạt và sản xuất; cước vận tải tăng.</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sz w:val="28"/>
        </w:rPr>
        <w:t>c) Lĩnh vực xuất nhập khẩu</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Kim ngạch chưa đạt kế hoạch: năm 2025 giảm chủ yếu do sầu riêng chưa phục hồi; năm 2026 phục hồi nhưng không đạt kế hoạch đầu năm (6.140 triệu USD), phải điều chỉnh còn 4.171 triệu USD; sầu riêng vẫn bị kiểm soát chặt (Quý III/2026 có 14 xe bị phía Trung Quốc trả lại hoặc kiểm tra chặt về hợp đồng, quy cách, rệp sáp, cadimi); xuất khẩu phốt pho vàng không đạt kỳ vọng do giá thế giới giảm, thị trường Trung Quốc phục hồi chậm.</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Phụ thuộc thị trường Trung Quốc: doanh nghiệp xuất khẩu của tỉnh quy mô nhỏ, năng lực cạnh tranh thấp; nông lâm sản như quế giá trị thấp, chưa xuất khẩu trực tiếp; giao thương tập trung sản phẩm thô, sơ chế, thiếu liên kết chế biến sâu, chưa có dự án hợp tác sản xuất qua biên giới quy mô lớn.</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Hạ tầng, logistics: thiếu trung tâm logistics cấp vùng; cao tốc Nội Bài - Lào Cai đoạn 02 làn xe bị nghẽn; hạ tầng Cửa khẩu phụ Bản Vược sơ khai; đường sắt khổ 1.000 mm lệch khổ với Trung Quốc (1.435 mm) làm tăng chi phí sang tải; Cửa khẩu quốc tế đường sắt Lào Cai - Hà Khẩu chưa được phía Trung Quốc chỉ định nhập khẩu trái cây, nông sản. Sức ép từ tuyến đường sắt Trung Quốc - Lào - Thái Lan và các cửa khẩu Lạng Sơn, Quảng Ninh thí điểm cửa khẩu thông minh, chi phí thấp, thời gian nhanh hơn.</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Thể chế: hơn 100 thủ tục hành chính lĩnh vực xuất nhập khẩu, thương mại quốc tế phân cấp từ Trung ương về địa phương, liên tục thay đổi, gây khó khăn trong triển khai, hướng dẫn doanh nghiệp. Đề án thí điểm Khu hợp tác kinh tế qua biên giới đang hoàn thiện hồ sơ theo Thông báo số 512/TB-VPCP, chưa được phê duyệt nên chưa có khung tổ chức thực hiện thống nhất.</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val="0"/>
          <w:sz w:val="28"/>
        </w:rPr>
        <w:t>4. Nguyên nhân</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sz w:val="28"/>
        </w:rPr>
        <w:t>4.1. Nguyên nhân chủ quan</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Nguồn lực ngân sách bố trí cho giải phóng mặt bằng và đầu tư hạ tầng kỹ thuật (công trình xử lý nước thải tập trung, lưới điện, cấp điện thôn, bản) còn hạn chế.</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Công tác phối hợp giữa chủ đầu tư, chính quyền cấp xã và các cơ quan trong giải phóng mặt bằng có lúc chưa chặt chẽ; năng lực, nhân lực đo đạc, kiểm đếm tại cấp xã chưa đáp ứng khối lượng đột biến khi triển khai đồng thời nhiều khu, cụm công nghiệp.</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Nguồn nhân lực chất lượng cao tại chỗ chưa đáp ứng nhu cầu doanh nghiệp, còn phụ thuộc lao động ngoại tỉnh.</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Yêu cầu quản lý nhà nước ngày càng cao, chức năng của Sở đa ngành, phức tạp, khối lượng công việc nhiều, tiến độ gấp trong khi biên chế giảm, phải kiêm nhiệm; công tác tham mưu của một số công chức có thời điểm chưa cao.</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sz w:val="28"/>
        </w:rPr>
        <w:t>4.2. Nguyên nhân khách quan</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Sau sáp nhập, chỉ đạo, điều hành, giám sát của chính quyền các cấp cần thời gian hoàn thiện bộ máy, hệ thống thông tin, cơ sở dữ liệu liên thông; phân tích, dự báo, ứng phó biến động có lúc, có nơi còn bị động.</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Bối cảnh kinh tế thế giới bất lợi: khủng hoảng kinh tế, xung đột vũ trang làm thị trường thu hẹp, chuỗi cung ứng đứt gãy, giá nguyên, nhiên vật liệu tăng cao; thị trường xuất khẩu chính thắt chặt tiền tệ, bất lợi cho giá xuất khẩu.</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Hệ thống văn bản quy phạm pháp luật, cơ chế chính sách thiếu đồng bộ, lạc hậu, chậm sửa đổi, chưa sát thực tế địa phương (giá mua, bán điện; cơ chế thu hút đầu tư nguồn điện ngoài ngân sách; đấu thầu lựa chọn nhà đầu tư thủy điện; trần diện tích cụm công nghiệp; kinh doanh xăng dầu, rượu, thuốc lá; đầu tư, khai thác chợ), gây lúng túng về thẩm quyền, cản trở thu hút đầu tư xã hội hóa.</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Áp lực cạnh tranh hạ tầng: Lạng Sơn (nâng cấp Cửa khẩu Hữu Nghị 14 làn xe), Quảng Ninh (cao tốc Vân Đồn - Móng Cái) tạo lợi thế lớn, thu hút luồng hàng rời khỏi tuyến qua Lào Cai; tuyến vận chuyển đến cửa khẩu Lào Cai xa hơn, trong bối cảnh giá xăng dầu tăng cao doanh nghiệp ưu tiên thông quan qua Lạng Sơn.</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Thiên tai, biến đổi khí hậu, thời tiết cực đoan ảnh hưởng trực tiếp đến sản xuất công nghiệp, thủy điện và hạ tầng thương mại.</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val="0"/>
          <w:sz w:val="28"/>
        </w:rPr>
        <w:t>V. NHIỆM VỤ VÀ GIẢI PHÁP TRONG THỜI GIAN TỚI</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val="0"/>
          <w:sz w:val="28"/>
        </w:rPr>
        <w:t>1. Mục tiêu, định hướng đến năm 2030</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Đến năm 2030, xây dựng tỉnh Lào Cai trở thành cực tăng trưởng vùng Trung du và miền núi phía Bắc, trung tâm kết nối giao thương giữa Việt Nam - ASEAN với vùng Tây Nam Trung Quốc; tăng trưởng GRDP bình quân từ 10%/năm trở lên giai đoạn 2026 - 2030; chuyển mạnh sang kinh tế xanh, kinh tế số, kinh tế biên mậu hiện đại.</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Phát huy vị trí chiến lược trên Hành lang kinh tế Côn Minh - Lào Cai - Hà Nội - Hải Phòng - Quảng Ninh; tập trung phát triển hạ tầng giao thông liên vùng, kinh tế cửa khẩu, logistics, công nghiệp làm động lực mở rộng quy mô kinh tế.</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Chuyển dịch cơ cấu theo hướng công nghiệp chế biến sâu khoáng sản, nông lâm sản (dược liệu, quế, gỗ), dịch vụ chất lượng cao, kinh tế số, tăng trưởng xanh; định hướng xuyên suốt "xanh - hài hòa - bản sắc - hạnh phúc"; phát triển các khu, cụm công nghiệp dọc hành lang kinh tế gắn với logistics, năng lượng, chế biến sâu khoáng sản, công nghiệp vật liệu, chế biến nông lâm sản.</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val="0"/>
          <w:sz w:val="28"/>
        </w:rPr>
        <w:t>2. Các chỉ tiêu cụ thể</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sz w:val="28"/>
        </w:rPr>
        <w:t>2.1. Năm 2027</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Trên cơ sở kết quả năm 2026, dư địa phát triển, năng lực hạ tầng logistics và khả năng thu hút đầu tư, Sở rà soát, đề xuất các chỉ tiêu chủ yếu năm 2027 (chỉ tiêu giao tại Kế hoạch phát triển kinh tế - xã hội 5 năm 2026 - 2030 kèm theo Quyết định số 2333/QĐ-UBND ngày 12/12/2025 của Ủy ban nhân dân tỉnh) như sau:</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Giá trị sản xuất công nghiệp ước đạt 85.171 tỷ đồng, tăng 7,5% so với ước thực hiện năm 2026; chỉ số sản xuất công nghiệp tăng trên 12%.</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Tổng mức bán lẻ hàng hóa và doanh thu dịch vụ tiêu dùng ước đạt 106.000 tỷ đồng, tăng 10,4% so với ước thực hiện năm 2026.</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Tổng giá trị hàng hóa xuất nhập khẩu, mua bán, trao đổi qua các cửa khẩu: đề nghị Ủy ban nhân dân tỉnh, Sở Tài chính xem xét điều chỉnh giảm từ 7.100 triệu USD xuống 4.800 triệu USD (tăng 15% so với năm 2026). Lý do: mục tiêu cũ vượt quá năng lực hạ tầng, logistics và thông quan; chi phí logistics còn cao; xuất khẩu chủ yếu là nông sản truyền thống; các dự án hạ tầng lớn (cửa khẩu thông minh, cầu Bản Vược - Bá Sái) cần thêm thời gian phát huy hiệu quả; mức 4.800 triệu USD bảo đảm khả thi, có cơ sở.</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sz w:val="28"/>
        </w:rPr>
        <w:t>2.2. Năm 2030</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Chỉ số sản xuất công nghiệp tăng bình quân trên 12%/năm; giá trị sản xuất công nghiệp tăng trưởng hai con số.</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Tổng mức bán lẻ hàng hóa và doanh thu dịch vụ tiêu dùng đạt 150.000 tỷ đồng.</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Tổng giá trị hàng hóa xuất khẩu, nhập khẩu qua địa bàn đạt 10 tỷ USD.</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Thu hút đầu tư, lấp đầy các cụm công nghiệp hiện có; đến năm 2030 toàn tỉnh có 50 cụm công nghiệp với tổng diện tích 2.647,8 ha; 100% khu công nghiệp đang hoạt động và 100% cụm công nghiệp có hệ thống xử lý nước thải tập trung.</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val="0"/>
          <w:sz w:val="28"/>
        </w:rPr>
        <w:t>3. Các nhiệm vụ trọng tâm</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sz w:val="28"/>
        </w:rPr>
        <w:t>3.1. Các định hướng trọng tâm</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Rà soát, bổ sung quy hoạch; thu hút đầu tư thành lập các khu, cụm công nghiệp và phối hợp chủ đầu tư hạ tầng thu hút nhà đầu tư thứ cấp, phát triển công nghiệp thân thiện môi trường, công nghiệp xanh, hàm lượng công nghệ và giá trị gia tăng cao, trọng tâm: (1) Công nghiệp chế biến, chế tạo sâu: phát triển công nghiệp sau luyện kim, hóa chất, phân bón; hình thành chuỗi luyện kim - hóa chất phục vụ dự án trọng điểm quốc gia; (2) Công nghiệp chế biến nông, lâm sản, trọng tâm là dược liệu, gỗ, công nghiệp phụ trợ; (3) Năng lượng tái tạo: khai thác khu vực hồ Thác Bà, sông Hồng, điện sinh khối, các dự án thủy điện trong quy hoạch; hoàn thiện hạ tầng năng lượng kết nối với tỉnh Vân Nam, Trung Quốc.</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Phát triển kinh tế cửa khẩu: (1) Hoàn thiện hệ thống cửa khẩu thông minh; hoàn thiện trình Chính phủ và triển khai thí điểm Khu hợp tác kinh tế qua biên giới sau khi được phê duyệt; phát triển trung tâm thương mại, logistics, tài chính, du lịch, trở thành trung tâm giao thương của Việt Nam và ASEAN với vùng Tây Nam Trung Quốc; (2) Hoàn thành cửa khẩu thông minh tại cặp Cửa khẩu quốc tế Kim Thành - Bắc Sơn và Bản Vược - Bá Sái; nâng cấp Cửa khẩu Bản Vược và Mường Khương lên cửa khẩu quốc tế.</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sz w:val="28"/>
        </w:rPr>
        <w:t>3.2. Giải pháp cấp bách theo mục tiêu tăng trưởng tỉnh giao năm 2026</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Bám sát kịch bản tăng trưởng Quý IV/2026: giá trị sản xuất công nghiệp 22.575 tỷ đồng; tổng mức bán lẻ hàng hóa và doanh thu dịch vụ theo kịch bản Quý IV; tổng giá trị xuất nhập khẩu 1.200 triệu USD; theo dõi hằng tuần, hằng tháng kết quả của từng doanh nghiệp lớn, kịp thời bù trừ giữa các nhóm ngành.</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xml:space="preserve">- Tập trung tháo gỡ khó khăn để 06 dự án chế biến sâu còn lại đi vào hoạt động trong Quý IV/2026 (nêu tại mục III.2.1; Nhà máy tuyển quặng apatit nghèo của Công ty Anh Nhẫn Lào Cai đã vận hành chính thức); đôn đốc, hỗ trợ mỏ sắt Quý Xa vận hành ổn định công suất; thúc đẩy các nhà máy tuyển apatit Bắc Nhạc Sơn, Tằng Loỏng, Tam Đỉnh hoạt động tối đa công suất thiết kế. </w:t>
      </w:r>
      <w:r>
        <w:rPr>
          <w:rFonts w:ascii="Times New Roman" w:hAnsi="Times New Roman" w:eastAsia="Times New Roman" w:cs="Times New Roman"/>
          <w:b w:val="0"/>
          <w:i w:val="0"/>
          <w:color w:val="7030A0"/>
          <w:sz w:val="28"/>
        </w:rPr>
        <w:t>Phòng Quản lý khoáng sản bổ sung giải pháp cụ thể Quý IV/2026 về khoáng sản: đưa khai trường nào vào khai thác, xử lý nhà máy tuyển sắt dừng hoạt động, hướng dẫn thu hồi khoáng sản trong thi công các khu công nghiệp (Văn bản số 6452/SCT-KS ngày 09/10/2026).</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Đề nghị Ủy ban nhân dân tỉnh: giao các địa phương khẩn trương hoàn thiện, trình phê duyệt quy hoạch chung cấp xã làm cơ sở lập quy hoạch chi tiết các cụm công nghiệp mới; giao Ban Quản lý Khu kinh tế tỉnh và các sở, ngành ưu tiên hướng dẫn, thẩm định, hoàn thiện thủ tục nghiệm thu, cấp phép môi trường, phòng cháy và chữa cháy để các dự án công nghiệp mới trong khu công nghiệp hoạt động ngay trong Quý IV/2026; chỉ đạo giải quyết dứt điểm giải phóng mặt bằng, tạo quỹ đất sạch cho khai thác khoáng sản, hạ tầng cụm công nghiệp và các công trình nguồn, lưới điện trọng điểm.</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Khu, cụm công nghiệp: đẩy nhanh san gạt 50 - 70 ha tại Cụm công nghiệp Thống Nhất 1 để bàn giao mặt bằng cho chủ đầu tư thi công hạ tầng đồng bộ trong Quý IV/2026; tham mưu thành lập Cụm công nghiệp Xuân Ái và 06 cụm do Ủy ban nhân dân xã, phường làm chủ đầu tư (Bắc Văn Yên, Đông An, Yên Thế, Âu Lâu, Sơn Thịnh, Hưng Khánh); hoàn thiện thủ tục lựa chọn chủ đầu tư các Cụm công nghiệp Châu Quế, Tân Nguyên, Báo Đáp, Thịnh Hưng; hướng dẫn nhà đầu tư hoàn thiện hồ sơ thành lập các Cụm công nghiệp Phú Thịnh 4, Phú Thịnh 5, Phú Thịnh 6, Bản Phiệt 1, An Thịnh, Cam Đường 1; đôn đốc khởi công Cụm công nghiệp Minh Quân, Y Can trong tháng 11/2026, Cụm công nghiệp Mông Sơn trước ngày 31/12/2026; theo dõi Cụm công nghiệp Yên Hợp 2 theo Quyết định thành lập. Phối hợp Ban Quản lý Khu kinh tế tỉnh, Ban Quản lý các Khu công nghiệp tỉnh đôn đốc hoàn thiện mặt bằng các Khu công nghiệp Phía Nam, Minh Quân, Âu Lâu, Trấn Yên; bàn giao khoảng 30 ha mặt bằng Khu công nghiệp Võ Lao trong tháng 11/2026 để khởi công; đôn đốc Khu công nghiệp Cam Đường, Bản Qua; thực hiện nghiêm kết luận của Thường trực Tỉnh ủy sau kiểm tra 15 dự án theo Chương trình số 130-CTr/TU.</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xml:space="preserve">- Năng lượng: hướng dẫn, kiểm tra nghiệm thu để các Nhà máy thủy điện Lán Bò, Hồ Bốn 2 hòa lưới phát điện trong Quý IV/2026; hoàn thành cấp điện nông thôn năm 2026 (đóng điện dứt điểm 04 thôn Làng Mảnh, Lùng Cúng, Làng Giàng, Đá Đen ngay đầu Quý IV/2026; 12 thôn còn lại trước ngày 31/12/2026); đề nghị Ủy ban nhân dân tỉnh chỉ đạo Sở Văn hóa, Thể thao và Du lịch phối hợp Sở Nông nghiệp và Môi trường, Sở Công Thương khẩn trương hoàn thiện hồ sơ điều chỉnh ranh giới khoanh vùng bảo vệ Di tích lịch sử và Danh lam thắng cảnh quốc gia hồ Thác Bà làm căn cứ chấp thuận chủ trương đầu tư 03 dự án điện mặt trời (Yên Bình, nổi hồ Thác Bà, Mỹ Gia 2); phối hợp tháo gỡ các vị trí chồng lấn giữa Quy hoạch điện VIII điều chỉnh và Quy hoạch khoáng sản 866; làm việc với Tổng công ty Điện lực miền Bắc, Công ty Điện lực Lào Cai triển khai phương án cấp điện cho các khu, cụm công nghiệp mới (nêu tại mục III.1.3), lắp bổ sung máy thứ hai Trạm biến áp 110 kV Nam Thành phố, điều chỉnh quy hoạch Trạm biến áp 110 kV Khu công nghiệp Võ Lao lên 04 máy 63 MVA, cấp điện đến chân hàng rào theo tiến độ khởi công. </w:t>
      </w:r>
      <w:r>
        <w:rPr>
          <w:rFonts w:ascii="Times New Roman" w:hAnsi="Times New Roman" w:eastAsia="Times New Roman" w:cs="Times New Roman"/>
          <w:b w:val="0"/>
          <w:i w:val="0"/>
          <w:color w:val="7030A0"/>
          <w:sz w:val="28"/>
        </w:rPr>
        <w:t>Phòng Quản lý năng lượng bổ sung mốc cụ thể từng thôn và kết quả đóng điện đến ngày 15/10/2026.</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Thương mại, xuất nhập khẩu: tiếp tục trao đổi với Thương vụ Việt Nam tại Côn Minh, chính quyền huyện Hà Khẩu nắm chính sách xuất nhập khẩu, tình hình cửa khẩu, nhu cầu thị trường để thông tin cho doanh nghiệp; phối hợp tổ chức Hội chợ thương mại biên giới Trung - Việt năm 2026; lập kế hoạch dự trữ, bình ổn thị trường hàng thiết yếu, xăng dầu cuối năm 2026 và Tết Dương lịch 2027; triển khai Chương trình khuyến mại tập trung quốc gia tháng 12/2026; trình Hội đồng nhân dân tỉnh ban hành Nghị quyết chính sách hỗ trợ phát triển kinh tế số, thương mại điện tử giai đoạn 2026 - 2030 tại kỳ họp cuối năm 2026; lực lượng Quản lý thị trường triển khai cao điểm kiểm tra dịp cuối năm, Tết Nguyên đán (an toàn thực phẩm, hàng giả, gian lận thương mại điện tử, đo lường).</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Đầu tư công: hoàn thành nghiệm thu, thanh quyết toán các hạng mục đã hoàn thành; giải ngân 100% kế hoạch vốn 83,345 tỷ đồng.</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sz w:val="28"/>
        </w:rPr>
        <w:t>3.3. Giải pháp trọng tâm dài hạn</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Ngành Công Thương xác định 07 nhóm giải pháp trọng tâm giai đoạn 2026 - 2030: (1) Đẩy mạnh đột phá về kết cấu hạ tầng (giao thông đường bộ, đường sắt khổ 1.435 mm, Cảng hàng không Sa Pa; Khu kinh tế cửa khẩu đa ngành; cầu Bản Vược - Bá Sái hợp long tháng 11/2026, hoàn thành trong năm 2026; hạ tầng logistics theo phương thức đối tác công tư); (2) Khai thác triệt để, chế biến sâu khoáng sản và sử dụng hiệu quả năng lượng (chuỗi apatit, đồng, graphit, đất hiếm; nông lâm sản đặc hữu; năng lượng tái tạo hồ Thác Bà, sông Hồng; nâng cấp lưới 220 kV, 110 kV); (3) Thu hút đầu tư phát triển khu, cụm công nghiệp (Đề án số 08-ĐA/TU, Nghị quyết số 34-NQ/TU; tối thiểu 500 ha mặt bằng sạch năm 2026; chuyển đổi Khu công nghiệp Tằng Loỏng sang khu công nghiệp sinh thái; 100% cụm công nghiệp có xử lý nước thải đến năm 2030; hạ tầng các khu, cụm mới và 08 cụm vốn ngân sách); (4) Phát triển thương mại, dịch vụ (hàng Việt về nông thôn; mỗi xã, phường có ít nhất 01 cửa hàng xăng dầu loại III đến năm 2030; 03 chợ đầu mối; hội chợ Việt - Trung); (5) Hỗ trợ doanh nghiệp (tháo gỡ cho dự án khoáng sản, thủy điện; giải phóng mặt bằng khai trường apatit, mỏ đồng); (6) Hợp tác kinh tế đối ngoại với tỉnh Vân Nam (rút ngắn kiểm nghiệm, kiểm dịch trái cây; kết nối giao thương dọc sông Hồng); (7) Cải cách thủ tục hành chính, cải thiện môi trường đầu tư (cắt giảm 30% thủ tục, số hóa 100% dịch vụ công; duy trì nhóm dẫn đầu PCI; kỷ luật, kỷ cương công vụ, đánh giá cán bộ theo sản phẩm đầu ra). (Chi tiết tại Phụ lục 02).</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val="0"/>
          <w:sz w:val="28"/>
        </w:rPr>
        <w:t>VI. KIẾN NGHỊ, ĐỀ XUẤT</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val="0"/>
          <w:sz w:val="28"/>
        </w:rPr>
        <w:t>1. Đối với Trung ương (kính đề nghị Thường trực Tỉnh ủy có ý kiến với Chính phủ, các bộ, ngành)</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Chính phủ sớm ban hành nghị định mới thay thế Nghị định số 105/2017/NĐ-CP về kinh doanh rượu, Nghị định số 67/2013/NĐ-CP quy định chi tiết Luật Phòng, chống tác hại của thuốc lá, Nghị định số 83/2014/NĐ-CP về kinh doanh xăng dầu, tránh doanh nghiệp phải đối chiếu nhiều văn bản chồng chéo.</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Chính phủ, Bộ Công Thương xem xét sửa đổi Điều 2 và Điều 8 Nghị định số 303/2026/NĐ-CP (sửa đổi Nghị định số 32/2024/NĐ-CP) theo hướng bãi bỏ trần diện tích cụm công nghiệp tối đa 75 ha, bỏ ràng buộc tỷ lệ lấp đầy khi thành lập, mở rộng; phân cấp toàn diện cho Ủy ban nhân dân cấp tỉnh quyết định quy mô, điều kiện thành lập theo quy hoạch tỉnh, chỉ tiêu đất đai và nhu cầu thực tiễn (Lào Cai sau sáp nhập có quỹ đất rộng, nhu cầu dự án chế biến sâu, công nghiệp phụ trợ quy mô lớn, liền thửa; trần 75 ha buộc chia nhỏ cụm, tăng chi phí hạ tầng dùng chung; tiêu chí lấp đầy tính theo cấp xã chưa sát thực tế miền núi).</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Bộ Công Thương, Bộ Nội vụ hướng dẫn tiêu chí định lượng đánh giá công chức chuyên ngành công thương theo sản phẩm đầu ra; cụ thể hóa danh mục vị trí việc làm chuyên ngành công nghiệp, năng lượng, khoáng sản ở cấp tỉnh và cấp xã.</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Bộ Công Thương chỉ đạo Tập đoàn Điện lực Việt Nam đẩy nhanh các dự án đường dây, trạm biến áp truyền tải trên địa bàn (Đường dây 220 kV Than Uyên - Trạm 500 kV Lào Cai đang thi công; Đường dây 500 kV Than Uyên - Yên Bái, Trạm biến áp 500 kV Yên Bái, Đường dây 500 kV Yên Bái - Thái Nguyên đang chuẩn bị đầu tư), đầu tư lưới điện phục vụ các khu, cụm công nghiệp, logistics; bảo đảm giải phóng công suất các nhà máy điện.</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Bộ Công Thương sớm ban hành: bộ tiêu chí, tiêu chuẩn đánh giá khai thác hợp lý, tiết kiệm, hiệu quả khoáng sản; quy chuẩn kỹ thuật quốc gia đối với tinh quặng sau tuyển; hướng dẫn kiểm soát khối lượng, chất lượng khoáng sản trong khai thác, vận chuyển, tiêu thụ; khung cơ chế phát triển điện mặt trời mái nhà và khung giá điện sinh khối, điện gió trên bờ, điện mặt trời tập trung; quy chuẩn thiết kế trụ sạc ô tô điện. Bộ Công Thương, Bộ Tài chính quy định mức chiết khấu thương mại tối thiểu đối với xăng dầu.</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val="0"/>
          <w:sz w:val="28"/>
        </w:rPr>
        <w:t>2. Đối với Tỉnh ủy, Ban Thường vụ Tỉnh ủy, Thường trực Tỉnh ủy</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Thống nhất chủ trương bố trí nguồn lực đầu tư các dự án cấp điện từ lưới điện quốc gia cho các nhóm hộ, cụm dân cư với tổng vốn 1.520,3 tỷ đồng (năm 2026: 242,5 tỷ đồng; năm 2027: 327,6 tỷ đồng; năm 2028: 491,9 tỷ đồng; năm 2029: 359,3 tỷ đồng; năm 2030: 99 tỷ đồng).</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Chỉ đạo Đảng ủy Ủy ban nhân dân tỉnh lãnh đạo Ủy ban nhân dân tỉnh giao: Sở Tài chính tham mưu quy trình chấp thuận chủ trương đầu tư đồng thời chấp thuận nhà đầu tư theo cơ chế đặc thù đối với dự án năng lượng tại địa bàn đặc biệt khó khăn (Nghị quyết số 254/2025/QH15; Quyết định số 1382/QĐ-UBND), hướng dẫn đấu thầu lựa chọn nhà đầu tư các dự án còn lại, kiên quyết thu hồi chủ trương đầu tư dự án chậm tiến độ do nguyên nhân chủ quan; Sở Công Thương rà soát đề xuất điều chỉnh Quy hoạch điện VIII (Quyết định số 768/QĐ-TTg ngày 15/4/2025), đôn đốc đưa các thủy điện Hồ Bốn 2, Lán Bò vào vận hành năm 2026; Sở Nông nghiệp và Môi trường hướng dẫn đất đai, môi trường, lâm nghiệp cho dự án năng lượng, khoáng sản; Sở Văn hóa, Thể thao và Du lịch hoàn thành điều chỉnh khoanh vùng bảo vệ di tích hồ Thác Bà; Ủy ban nhân dân các xã, phường có dự án tăng cường tuyên truyền, vận động, giải quyết thủ tục bồi thường, tái định cư.</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Chỉ đạo Đảng ủy Ủy ban nhân dân tỉnh lãnh đạo Ủy ban nhân dân tỉnh giao: Sở Công Thương rà soát, tham mưu điều chỉnh quy hoạch, cập nhật trữ lượng, loại quặng, tiến độ thăm dò, khai thác các mỏ có khả năng huy động sớm (apatit, đồng, sắt), rà soát các mỏ, nhà máy tuyển dừng hoạt động để tham mưu phương án xử lý; Sở Tài chính tham mưu thu hút dự án cán kéo đồng, dây cáp điện từ đồng cathode, dự án sau luyện kim, hóa chất, chế biến sâu, đôn đốc dự án nâng công suất của Công ty TNHH Khoáng sản và Luyện kim Việt Trung; Sở Khoa học và Công nghệ đặt hàng nghiên cứu tuyển quặng apatit nghèo, thu hồi thành phần có ích trong quặng đuôi, tuần hoàn nước, nâng độ tinh khiết graphit, tinh chế đất hiếm.</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Chỉ đạo Ủy ban nhân dân tỉnh giao các sở, ngành nghiên cứu, trả lời các đề nghị lớn của phía Trung Quốc (tại Phiên họp lần thứ 12 Nhóm Công tác liên hợp 5 tỉnh, Hội nghị hợp tác Hành lang kinh tế lần thứ XII, các buổi làm việc với Sở Thương mại tỉnh Vân Nam, Cục Thương mại châu Hồng Hà) về kết nối hạ tầng, thuận lợi hóa vận tải, thương mại điện tử qua biên giới, kiểm dịch và mở cửa thị trường nông sản hai chiều, cửa khẩu thông minh, Khu hợp tác kinh tế qua biên giới theo nguyên tắc: nội dung thuộc thẩm quyền tỉnh thì chủ động giải quyết; nội dung vượt thẩm quyền chỉ ghi nhận, báo cáo bộ, ngành Trung ương, không cam kết khi chưa có ý kiến cấp có thẩm quyền; bảo đảm có đi có lại, gắn với yêu cầu phía Trung Quốc mở cửa thị trường thủy sản, nông sản Việt Nam.</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Xem xét bổ sung biên chế công chức cho Sở Công Thương: 03 biên chế về xây dựng, thủy lợi công trình và kỹ sư công nghệ thông tin; cho phép tuyển dụng 01 công chức vị trí chuyên viên ngoại thương thành thạo tiếng Trung; cho phép cơ chế tuyển dụng công chức chuyên môn sâu (địa chất, khoáng sản, năng lượng) và không cắt giảm biên chế cơ học của ngành trong các năm tiếp theo; đồng ý cho Sở rút 01 cán bộ chuyên ngành thương mại đang tăng cường tại phường Lào Cai từ tháng 8/2025 về Sở do Phòng Quản lý thương mại thiếu người.</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Cho chủ trương để Sở thanh lý 01 xe ô tô sử dụng từ năm 2012 và mua 01 xe mới bảo đảm điều kiện công tác.</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(Chi tiết tại Phụ lục 03).</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Trên đây là báo cáo kết quả thực hiện nhiệm vụ từ ngày 01/7/2025 đến ngày 15/10/2026, kế hoạch triển khai nhiệm vụ thời gian còn lại của năm 2026 và giai đoạn 2026 - 2030 của ngành Công Thương, Sở Công Thương kính báo cáo Thường trực Tỉnh ủy xem xét, chỉ đạo./.</w:t>
      </w:r>
    </w:p>
    <w:p>
      <w:pPr>
        <w:keepNext/>
        <w:spacing w:before="0" w:after="0" w:line="240" w:lineRule="auto"/>
        <w:jc w:val="both"/>
        <w:rPr>
          <w:rFonts w:ascii="Times New Roman" w:hAnsi="Times New Roman" w:eastAsia="Times New Roman" w:cs="Times New Roman"/>
          <w:sz w:val="28"/>
          <w:szCs w:val="28"/>
        </w:rPr>
      </w:pPr>
    </w:p>
    <w:tbl>
      <w:tblPr>
        <w:tblW w:type="auto" w:w="0"/>
        <w:tblLayout w:type="fixed"/>
        <w:tblLook w:firstColumn="1" w:firstRow="1" w:lastColumn="0" w:lastRow="0" w:noHBand="0" w:noVBand="1" w:val="04A0"/>
        <w:tblLayout w:type="fixed"/>
      </w:tblPr>
      <w:tblGrid>
        <w:gridCol w:w="4819"/>
        <w:gridCol w:w="4252"/>
      </w:tblGrid>
      <w:tr>
        <w:trPr>
          <w:cantSplit/>
        </w:trPr>
        <w:tc>
          <w:tcPr>
            <w:tcW w:type="dxa" w:w="4819"/>
          </w:tcPr>
          <w:p>
            <w:pPr>
              <w:keepNext/>
              <w:spacing w:after="0"/>
              <w:rPr>
                <w:rFonts w:ascii="Times New Roman" w:hAnsi="Times New Roman" w:eastAsia="Times New Roman" w:cs="Times New Roman"/>
              </w:rPr>
            </w:pPr>
            <w:r>
              <w:rPr>
                <w:rFonts w:ascii="Times New Roman" w:hAnsi="Times New Roman" w:eastAsia="Times New Roman" w:cs="Times New Roman"/>
                <w:b/>
                <w:i/>
                <w:sz w:val="24"/>
              </w:rPr>
              <w:t>Nơi nhận:</w:t>
            </w:r>
          </w:p>
          <w:p>
            <w:pPr>
              <w:keepNext/>
              <w:spacing w:after="0"/>
              <w:rPr>
                <w:rFonts w:ascii="Times New Roman" w:hAnsi="Times New Roman" w:eastAsia="Times New Roman" w:cs="Times New Roman"/>
                <w:sz w:val="22"/>
                <w:szCs w:val="22"/>
              </w:rPr>
            </w:pPr>
            <w:r>
              <w:rPr>
                <w:rFonts w:ascii="Times New Roman" w:hAnsi="Times New Roman" w:eastAsia="Times New Roman" w:cs="Times New Roman"/>
                <w:b w:val="0"/>
                <w:i w:val="0"/>
                <w:sz w:val="22"/>
              </w:rPr>
              <w:t>- Thường trực Tỉnh ủy (báo cáo);</w:t>
            </w:r>
          </w:p>
          <w:p>
            <w:pPr>
              <w:keepNext/>
              <w:spacing w:after="0"/>
              <w:rPr>
                <w:rFonts w:ascii="Times New Roman" w:hAnsi="Times New Roman" w:eastAsia="Times New Roman" w:cs="Times New Roman"/>
                <w:sz w:val="22"/>
                <w:szCs w:val="22"/>
              </w:rPr>
            </w:pPr>
            <w:r>
              <w:rPr>
                <w:rFonts w:ascii="Times New Roman" w:hAnsi="Times New Roman" w:eastAsia="Times New Roman" w:cs="Times New Roman"/>
                <w:b w:val="0"/>
                <w:i w:val="0"/>
                <w:sz w:val="22"/>
              </w:rPr>
              <w:t>- Văn phòng Tỉnh ủy;</w:t>
            </w:r>
          </w:p>
          <w:p>
            <w:pPr>
              <w:keepNext/>
              <w:spacing w:after="0"/>
              <w:rPr>
                <w:rFonts w:ascii="Times New Roman" w:hAnsi="Times New Roman" w:eastAsia="Times New Roman" w:cs="Times New Roman"/>
                <w:sz w:val="22"/>
                <w:szCs w:val="22"/>
              </w:rPr>
            </w:pPr>
            <w:r>
              <w:rPr>
                <w:rFonts w:ascii="Times New Roman" w:hAnsi="Times New Roman" w:eastAsia="Times New Roman" w:cs="Times New Roman"/>
                <w:b w:val="0"/>
                <w:i w:val="0"/>
                <w:sz w:val="22"/>
              </w:rPr>
              <w:t>- Các đại biểu dự họp;</w:t>
            </w:r>
          </w:p>
          <w:p>
            <w:pPr>
              <w:keepNext/>
              <w:spacing w:after="0"/>
              <w:rPr>
                <w:rFonts w:ascii="Times New Roman" w:hAnsi="Times New Roman" w:eastAsia="Times New Roman" w:cs="Times New Roman"/>
                <w:sz w:val="22"/>
                <w:szCs w:val="22"/>
              </w:rPr>
            </w:pPr>
            <w:r>
              <w:rPr>
                <w:rFonts w:ascii="Times New Roman" w:hAnsi="Times New Roman" w:eastAsia="Times New Roman" w:cs="Times New Roman"/>
                <w:b w:val="0"/>
                <w:i w:val="0"/>
                <w:sz w:val="22"/>
              </w:rPr>
              <w:t>- Lãnh đạo Sở;</w:t>
            </w:r>
          </w:p>
          <w:p>
            <w:pPr>
              <w:keepNext/>
              <w:spacing w:after="0"/>
              <w:rPr>
                <w:rFonts w:ascii="Times New Roman" w:hAnsi="Times New Roman" w:eastAsia="Times New Roman" w:cs="Times New Roman"/>
                <w:sz w:val="22"/>
                <w:szCs w:val="22"/>
              </w:rPr>
            </w:pPr>
            <w:r>
              <w:rPr>
                <w:rFonts w:ascii="Times New Roman" w:hAnsi="Times New Roman" w:eastAsia="Times New Roman" w:cs="Times New Roman"/>
                <w:b w:val="0"/>
                <w:i w:val="0"/>
                <w:sz w:val="22"/>
              </w:rPr>
              <w:t>- Lưu: VT, CN, KS, NL, TM, KHTC, VP.</w:t>
            </w:r>
          </w:p>
        </w:tc>
        <w:tc>
          <w:tcPr>
            <w:tcW w:type="dxa" w:w="4252"/>
          </w:tcPr>
          <w:p>
            <w:pPr>
              <w:spacing w:after="0"/>
              <w:jc w:val="center"/>
              <w:rPr>
                <w:rFonts w:ascii="Times New Roman" w:hAnsi="Times New Roman" w:eastAsia="Times New Roman" w:cs="Times New Roman"/>
              </w:rPr>
            </w:pPr>
            <w:r>
              <w:rPr>
                <w:rFonts w:ascii="Times New Roman" w:hAnsi="Times New Roman" w:eastAsia="Times New Roman" w:cs="Times New Roman"/>
                <w:b/>
                <w:i w:val="0"/>
                <w:sz w:val="28"/>
              </w:rPr>
              <w:t>GIÁM ĐỐC</w:t>
            </w:r>
          </w:p>
          <w:p>
            <w:pPr>
              <w:spacing w:after="0"/>
              <w:rPr>
                <w:rFonts w:ascii="Times New Roman" w:hAnsi="Times New Roman" w:eastAsia="Times New Roman" w:cs="Times New Roman"/>
              </w:rPr>
            </w:pPr>
          </w:p>
          <w:p>
            <w:pPr>
              <w:spacing w:after="0"/>
              <w:rPr>
                <w:rFonts w:ascii="Times New Roman" w:hAnsi="Times New Roman" w:eastAsia="Times New Roman" w:cs="Times New Roman"/>
              </w:rPr>
            </w:pPr>
          </w:p>
          <w:p>
            <w:pPr>
              <w:spacing w:after="0"/>
              <w:rPr>
                <w:rFonts w:ascii="Times New Roman" w:hAnsi="Times New Roman" w:eastAsia="Times New Roman" w:cs="Times New Roman"/>
              </w:rPr>
            </w:pPr>
          </w:p>
          <w:p>
            <w:pPr>
              <w:spacing w:after="0"/>
              <w:rPr>
                <w:rFonts w:ascii="Times New Roman" w:hAnsi="Times New Roman" w:eastAsia="Times New Roman" w:cs="Times New Roman"/>
              </w:rPr>
            </w:pPr>
          </w:p>
          <w:p>
            <w:pPr>
              <w:spacing w:after="0"/>
              <w:rPr>
                <w:rFonts w:ascii="Times New Roman" w:hAnsi="Times New Roman" w:eastAsia="Times New Roman" w:cs="Times New Roman"/>
              </w:rPr>
            </w:pPr>
          </w:p>
          <w:p>
            <w:pPr>
              <w:spacing w:after="0"/>
              <w:jc w:val="center"/>
              <w:rPr>
                <w:rFonts w:ascii="Times New Roman" w:hAnsi="Times New Roman" w:eastAsia="Times New Roman" w:cs="Times New Roman"/>
              </w:rPr>
            </w:pPr>
            <w:r>
              <w:rPr>
                <w:rFonts w:ascii="Times New Roman" w:hAnsi="Times New Roman" w:eastAsia="Times New Roman" w:cs="Times New Roman"/>
                <w:b/>
                <w:i w:val="0"/>
                <w:sz w:val="28"/>
              </w:rPr>
              <w:t>Hoàng Chí Hiền</w:t>
            </w:r>
          </w:p>
        </w:tc>
      </w:tr>
    </w:tbl>
    <w:p>
      <w:r>
        <w:rPr>
          <w:rFonts w:ascii="Times New Roman" w:hAnsi="Times New Roman" w:eastAsia="Times New Roman" w:cs="Times New Roman"/>
        </w:rPr>
        <w:br w:type="page"/>
      </w:r>
    </w:p>
    <w:p>
      <w:pPr>
        <w:spacing w:after="0"/>
        <w:jc w:val="center"/>
        <w:rPr>
          <w:rFonts w:ascii="Times New Roman" w:hAnsi="Times New Roman" w:eastAsia="Times New Roman" w:cs="Times New Roman"/>
        </w:rPr>
      </w:pPr>
      <w:r>
        <w:rPr>
          <w:rFonts w:ascii="Times New Roman" w:hAnsi="Times New Roman" w:eastAsia="Times New Roman" w:cs="Times New Roman"/>
          <w:b/>
          <w:i w:val="0"/>
          <w:sz w:val="28"/>
        </w:rPr>
        <w:t>Phụ lục 01</w:t>
      </w:r>
    </w:p>
    <w:p>
      <w:pPr>
        <w:spacing w:after="0"/>
        <w:jc w:val="center"/>
        <w:rPr>
          <w:rFonts w:ascii="Times New Roman" w:hAnsi="Times New Roman" w:eastAsia="Times New Roman" w:cs="Times New Roman"/>
        </w:rPr>
      </w:pPr>
      <w:r>
        <w:rPr>
          <w:rFonts w:ascii="Times New Roman" w:hAnsi="Times New Roman" w:eastAsia="Times New Roman" w:cs="Times New Roman"/>
          <w:b/>
          <w:i w:val="0"/>
          <w:sz w:val="28"/>
        </w:rPr>
        <w:t>KẾT QUẢ THỰC HIỆN CÁC NGHỊ QUYẾT CHIẾN LƯỢC CỦA BỘ CHÍNH TRỊ; CHỈ ĐẠO CỦA CHÍNH PHỦ, THỦ TƯỚNG CHÍNH PHỦ; CÁC NGHỊ QUYẾT, ĐỀ ÁN TRỌNG TÂM CỦA TỈNH ỦY VÀ BÀI TOÁN LỚN SỐ 2</w:t>
      </w:r>
    </w:p>
    <w:p>
      <w:pPr>
        <w:spacing w:after="120"/>
        <w:jc w:val="center"/>
        <w:rPr>
          <w:rFonts w:ascii="Times New Roman" w:hAnsi="Times New Roman" w:eastAsia="Times New Roman" w:cs="Times New Roman"/>
        </w:rPr>
      </w:pPr>
      <w:r>
        <w:rPr>
          <w:rFonts w:ascii="Times New Roman" w:hAnsi="Times New Roman" w:eastAsia="Times New Roman" w:cs="Times New Roman"/>
          <w:b w:val="0"/>
          <w:i/>
          <w:sz w:val="28"/>
        </w:rPr>
        <w:t>(Kèm theo Báo cáo số:        /BC-SCT ngày      tháng 10 năm 2026 của Sở Công Thương tỉnh Lào Cai)</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val="0"/>
          <w:sz w:val="28"/>
        </w:rPr>
        <w:t>1. Nghị quyết số 70-NQ/TW về bảo đảm an ninh năng lượng quốc gia đến năm 2030, tầm nhìn đến năm 2045</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sz w:val="28"/>
        </w:rPr>
        <w:t>1.1. Đánh giá kết quả</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Thực hiện Nghị quyết số 70-NQ/TW của Bộ Chính trị về bảo đảm an ninh năng lượng quốc gia đến năm 2030, tầm nhìn 2045, căn cứ Kế hoạch số 06-KH/TU của Ban Thường vụ Tỉnh ủy và Kế hoạch số 147/KH-UBND ngày 31/10/2025 của Ủy ban nhân dân tỉnh, trong 9 tháng đầu năm 2026, Sở Công Thương đã phối hợp chặt chẽ với các sở, ngành, địa phương và triển khai toàn diện các nhiệm vụ trọng tâm, đạt được nhiều kết quả cụ thể như sau:</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Về công tác lãnh đạo, quản lý và hoàn thiện thể chế: Xác định phát triển năng lượng là nhiệm vụ chiến lược; công khai quy hoạch, danh mục đất đấu thầu, tạo môi trường minh bạch; Cắt giảm tối thiểu 30% điều kiện, chi phí, thời gian giải quyết TTHC; tổ chức 03 hội nghị tháo gỡ khó khăn về mặt bằng, thi công cho các dự án điện.</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Về phát triển nguồn cung và hạ tầng năng lượng: Về nguồn điện: toàn tỉnh có 199 dự án thủy điện với tổng công suất 2.978,05 MW; trong đó đã hoàn thành 108 dự án (1.794,1 MW), 15 dự án đang thi công (179,1MW), 19 dự án đã được chấp thuận chủ trương đầu tư (219 MW); 57 dự án chưa có chủ trương. Riêng thủy điện Làng Bằng tạm dừng do bão năm 2025, dự kiến phát điện trở lại đầu năm 2027; 04 dự án điện sinh khối (208 MW, trong đó 02 dự án đã được chấp thuận chủ trương đầu tư có công suất 79MW), 03 dự án điện gió trên bờ (360 MW), 16 dự án điện mặt trời tập trung (1.761 MW), tổng công suất điện rác 13MW; Về lưới điện: đáp ứng yêu cầu cấp điện, truyền tải, phục vụ sản xuất, sinh hoạt của người dân.</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Về tiết kiệm năng lượng và bảo vệ môi trường: triển khai nhiều giải pháp thực hiện như ban hành các kế hoạch tại địa phương nhằm cụ thể hóa Chương trình quốc gia về sử dụng năng lượng tiết kiệm hiệu quả giai đoạn 2026- 2030; theo dõi chặt chẽ cơ sở sử dụng năng lượng trọng điểm theo quy định, khuyến khích các công sở, tòa nhà hành chính lắp đặt hệ thống năng lượng mặt trời, tổ chức tuyên truyền và chia sẻ các mô hình tiết kiệm năng lượng hiệu quả tiêu biểu, phấn đấu duy trì mức tiết kiệm điện năng từ 2 - 5%.</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Về huy động nguồn lực xã hội và khuyến khích tư nhân tham gia: Đẩy mạnh thu hút đầu tư vào năng lượng sạch và tái tạo thông qua cơ chế ưu đãi, cải thiện thủ tục và đất đai. Đến ngày 15/10/2026, đã có 42/86 danh mục dự án năng lượng giai đoạn 2026-2030 được nhà đầu tư quan tâm, nộp hồ sơ (trong đó có 9 dự án đã được chấp thuận chủ trương đầu tư). Hiện nay, Sở đang phối hợp với Sở Tài chính tiếp tục kêu gọi các nhà đầu tư quan tâm nộp hồ sơ đối với các dự án còn lại.</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Về khoa học, công nghệ, chuyển đổi số và đào tạo nguồn nhân lực: Thực hiện Nghị quyết số 57-NQ/TW, phối hợp Sở Khoa học &amp; Công nghệ đề xuất ứng dụng công nghệ mới, thúc đẩy chuyển đổi số trong quy hoạch, vận hành hệ thống điện, đặc biệt năng lượng tái tạo.</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Về hợp tác quốc tế:  tiếp tục phối hợp với Tập đoàn Điện lực Việt Nam (EVN) triển khai các dự án lưới điện nhằm nhập khẩu điện từ Trung Quốc, đúng theo chủ trương của Trung ương.</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sz w:val="28"/>
        </w:rPr>
        <w:t>1.2. Nhiệm vụ, giải pháp</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Tiếp tục thực hiện tốt công tác quản lý quy hoạch, đẩy mạnh thu hút đầu tư, xây dựng hạ tầng năng lượng đồng bộ từ khâu sản xuất đến khâu truyền tải, phân phối và sử dụng năng lượng, góp phần đảm bảo an ninh năng lượng quốc gia, thúc đẩy phát triển kinh tế - xã hội của tỉnh theo hướng nhanh, bền vững, bảo vệ môi trường và nâng cao đời sống của nhân dân.</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Phấn đấu hoàn thành đóng điện 16 thôn, bản theo Kế hoạch trong năm 2026.</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Tiếp tục rà soát, đề xuất cập nhật, bổ sung các dự án nguồn điện và lưới điện vào Quy hoạch tỉnh Lào Cai điều chỉnh giai đoạn 2021-2030 tầm nhìn đến năm 2050; đẩy nhanh tiến độ triển khai các dự án nguồn điện và lưới điện đã có trong Quy hoạch điện VIII và Điều chỉnh Quy hoạch điện VIII trên địa bàn tỉnh Lào Cai</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Kiên quyết báo cáo xử lý các dự án chậm tiến độ kéo dài, không còn khả năng triển khai; đồng thời tạo điều kiện cho các nhà đầu tư có năng lực tiếp tục thực hiện các dự án khả thi.</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Đôn đốc các đơn vị hoàn thành phát điện năm 2026: dự án thủy điện Hồ Bốn 2 và dự án thủy điện Lán Bò.</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Đẩy mạnh công tác chuyển đổi số, ứng dụng công nghệ trong phát triển năng lượng; xây dựng cơ sở dữ liệu, thực hiện thống kê năng lượng quốc gia phục vụ công tác quản lý, điều hành hiệu quả ngành năng lượng trên địa bàn tỉnh.</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val="0"/>
          <w:sz w:val="28"/>
        </w:rPr>
        <w:t>2. Kết quả thực hiện Nghị quyết số 57-NQ/TW về phát triển khoa học, công nghệ, đổi mới sáng tạo và chuyển đổi số 9 tháng đầu năm 2026</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sz w:val="28"/>
        </w:rPr>
        <w:t>2.1. Đánh giá kết quả</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Thực hiện đúng tiến độ các nhiệm vụ được giao tại Kế hoạch số 34-KH/TU, Kế hoạch số 36-KH/TU, Kế hoạch số 346/KH-SCT ngày 22/01/2026 về chuyển đổi số của Sở, Kế hoạch số 1267/KH-SCT ngày 16/3/2026 về thực hiện NQ57 và các văn bản chỉ đạo của Ban Chỉ đạo tỉnh.</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Số hóa tài liệu &amp; Cơ sở dữ liệu ngành:</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Vận hành đồng thời hệ thống TTHC của tỉnh và Bộ Công Thương. Triển khai "Chiến dịch 90 ngày" đối với 03 cơ sở dữ liệu (xuất nhập khẩu, cửa hàng xăng dầu, chợ); Sở đã hoàn thành số hóa 119.048/50.000 trang tài liệu có giá trị cao, đạt 238% chỉ tiêu giao (tương ứng khoảng 45GB dữ liệu). Dự án thuê dịch vụ Hệ thống thông tin ngành Công Thương đang hoàn thiện hồ sơ thẩm định kế hoạch thuê.</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Cửa khẩu số &amp; Logistics thông minh:</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Ban Quản lý Khu kinh tế tỉnh thực hiện duy trì vận hành ổn định Nền tảng cửa khẩu số tại Khu kinh tế cửa khẩu, đạt an toàn thông tin cấp độ 3. Thời gian xử lý phương tiện tại Barie số 1 duy trì dưới 02 phút/xe. Đang phối hợp tích hợp công nghệ hiện đại: Máy soi container X-Ray 6 chiều, cân tải trọng động, camera AI nhận diện biển số, phương tiện tự hành IGV và hạ tầng kết nối 5G.</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Tham mưu Ủy ban nhân dân tỉnh ban hành Kế hoạch số 142/KH-UBND về Chiến lược phát triển dịch vụ logistics và chủ trì xây dựng Bản đồ số Logistics (Lao Cai Logistics Map).</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Tham mưu thể chế kinh tế số: Trình Ủy ban nhân dân tỉnh ban hành Kế hoạch số 250/KH-UBND triển khai Luật Thương mại điện tử.</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Hoàn thiện nội dung trình Ủy ban nhân dân tỉnh đăng ký xây dựng "Nghị quyết Quy định một số chính sách hỗ trợ đặc thù thúc đẩy phát triển kinh tế số, thương mại điện tử trên địa bàn tỉnh Lào Cai giai đoạn 2026-2030".</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Phát triển thương mại điện tử, kỹ năng số và nhân lực: Hỗ trợ đưa sản phẩm OCOP lên sàn TMĐT; tổ chức tập huấn kinh doanh số, livestream và AI. Đăng tải 28 tin bài trên Cổng TTĐT của Sở.</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An toàn thông tin, an ninh mạng và bảo vệ dữ liệu: Hệ thống thông tin của Sở đạt cấp độ 2, cửa khẩu số đạt cấp độ 3; duy trì mô hình bảo vệ nhiều lớp. Tồn tại: Chưa có trung tâm dữ liệu riêng, chưa đánh giá hồ sơ cấp độ do thiếu kinh phí, phương án sao lưu chủ yếu dùng thiết bị rời.</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Hạ tầng điện phục vụ chuyển đổi số, khắc phục lõm sóng, thiếu điện: Đang triển khai cấp điện lưới quốc gia cho 31 thôn, bản (chia làm 03 nhóm tiến độ). Trong đó đã hoàn thành 03 thôn (Ngã Hai, Sán Trá 1, Sán Trá 2), đang thi công 16 thôn (còn vướng mắc về GPMB, đo đạc địa chính tại 6 thôn) và các thôn còn lại đang chuẩn bị đầu tư/lựa chọn nhà thầu.</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Phối hợp với các doanh nghiệp viễn thông (Viettel, VNPT, MobiFone) lên phương án xóa lõm sóng tại 06 thôn, phát triển internet tại 22 thôn và xử lý lõm sóng/thiếu điện tại 17 cơ sở giáo dục.</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sz w:val="28"/>
        </w:rPr>
        <w:t>2.2. Nhiệm vụ, giải pháp</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Hoàn thiện dự thảo Nghị quyết chính sách hỗ trợ đặc thù kinh tế số, thương mại điện tử, hoàn thiện Tờ trình và hồ sơ gửi thẩm định trong tháng 10/2026, phấn đấu trình Ủy ban nhân dân tỉnh trong tháng 11/2026.</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Đẩy nhanh thẩm định, phê duyệt kế hoạch thuê và lựa chọn nhà thầu Hệ thống thông tin ngành Công Thương, đồng thời tiếp tục chuẩn hóa dữ liệu ngành trên Kho dữ liệu tỉnh, tránh phụ thuộc hoàn toàn vào thời điểm hoàn thành hệ thống thuê.</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Hoàn thành Chiến dịch 90 ngày đối với 03 cơ sở dữ liệu: xuất nhập khẩu, cửa hàng xăng dầu và chợ, tập trung nhập liệu, chuẩn hóa, trực quan hóa và kết nối Kho dữ liệu tỉnh.</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Tập trung cấp điện cho 14 thôn theo dự kiến tháng 10/2026 và các thôn có tiến độ tháng 11, Quý IV/2026.</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val="0"/>
          <w:sz w:val="28"/>
        </w:rPr>
        <w:t>3. Đề án số 08-ĐA/TU ngày 29/12/2025 của Tỉnh ủy Lào Cai về phát triển công nghiệp tỉnh Lào Cai theo hướng xanh, hiện đại giai đoạn 2026-2030</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sz w:val="28"/>
        </w:rPr>
        <w:t>3.1. Đánh giá kết quả</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Chỉ số sản xuất công nghiệp (IIP): 9 tháng đầu năm 2026 tăng 7,7% so với cùng kỳ năm 2025, đạt 107,7%.</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Khu công nghiệp: Đã thành lập 12 khu công nghiệp (tổng diện tích 3.306,18 ha), thu hút 228 dự án với tỷ lệ lấp đầy 73,9%, vượt mục tiêu năm 2026. Đã chấp thuận chủ trương đầu tư cho 05 khu công nghiệp mới gồm: Bản Qua, Phú Xuân, Phú Xuân 1, Võ Lao, Cam Đường.</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Cụm công nghiệp: Thành lập 25 cụm công nghiệp (tổng diện tích 1.028,78 ha), thu hút 233 dự án với tỷ lệ lấp đầy gần 30%.</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Năng lượng: Tổng công suất các dự án năng lượng đạt 1.794,1 MW; có 108/112 dự án thủy điện đã vận hành. Tỷ lệ hộ dân dùng điện an toàn đạt 94,5%, 100% xã có điện lưới quốc gia.</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sz w:val="28"/>
        </w:rPr>
        <w:t>3.2. Các nhiệm vụ trọng tâm</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Tái cơ cấu công nghiệp và khoáng sản: Duy trì hoạt động 44 dự án khoáng sản nhóm I và 22 nhà máy tuyển. Tái khởi động mỏ sắt Quý Xa (Công ty CP Khai thác và Chế biến kim loại Thủ Đô); đẩy mạnh các dự án trọng điểm tại khu công nghiệp Tằng Loỏng; phát triển chuỗi giá trị nông lâm sản (quế, dược liệu).</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Phát triển hạ tầng và môi trường: Hoàn thiện quy hoạch phân khu khu công nghiệp Phú Xuân, Phú Xuân 1, Cam Đường. Diện tích giải phóng mặt bằng đạt 603,47 ha. Triển khai di dời khu công nghiệp Đông Phố Mới, cụm công nghiệp Đông Phố Mới, cụm công nghiệp Sơn Mãn phục vụ dự án đường sắt tốc độ cao Lào Cai - Hà Nội - Hải Phòng. Đang xây dựng "Đề án chuyển đổi khu công nghiệp Tằng Loỏng sang khu công nghiệp sinh thái" và đẩy nhanh các trạm xử lý nước thải tập trung.</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Khoa học công nghệ và nhân lực: Đạt 100% phủ sóng 5G tại các khu công nghiệp. Tuyển sinh đào tạo nghề đạt 23.203 người. Tổng vốn thực hiện đạt 653,073 tỷ đồng.</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sz w:val="28"/>
        </w:rPr>
        <w:t>3.3. Tồn tại, hạn chế</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Nhiều dự án khoáng sản và hạ tầng khu công nghiệp/cụm công nghiệp còn chậm tiến độ do vướng mắc giải phóng mặt bằng, đất đai (như các cụm công nghiệp Phú Thịnh, khu công nghiệp Trấn Yên).</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Hạ tầng giao thông kết nối ngoài hàng rào chưa đồng bộ.</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Vẫn còn tình trạng chồng lấn giữa Quy hoạch điện VIII điều chỉnh và Quy hoạch khoáng sản 866 (như thủy điện Chấn Thịnh, Nậm Pươi).</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Hạ tầng lưới điện truyền tải chậm so với quy hoạch; chưa có danh mục phân loại xanh quốc gia chi tiết.</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sz w:val="28"/>
        </w:rPr>
        <w:t>3.4. Nhiệm vụ, giải pháp</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Đẩy nhanh tiến độ hạ tầng các khu công nghiệp mới, khu công nghiệp Trấn Yên, tháo gỡ vướng mắc mặt bằng tại các cụm công nghiệp (như Phú Thịnh, Xuân Ái, Tân Hợp, Mông Sơn, Tân Nguyên) và phục vụ di dời giải phóng mặt bằng đường sắt.</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Hỗ trợ vận hành ổn định mỏ sắt Quý Xa, các nhà máy tuyển quặng và Tập trung rà soát, kịp thời xử lý vướng mắc cho các doanh nghiệp đang hoạt động trong các khu công nghiệp, đặc biệt là khu công nghiệp Tằng Loỏng (chiếm 95% giá trị sản xuất công nghiệp của các khu công nghiệp phía Bắc).</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Phối hợp hoàn thiện Đề án chuyển đổi khu công nghiệp Tằng Loỏng sang khu công nghiệp sinh thái và đẩy nhanh các trạm xử lý nước thải.</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Đảm bảo an ninh năng lượng; phối hợp tháo gỡ vướng mắc giữa Quy hoạch điện VIII và Quy hoạch khoáng sản 866; đẩy mạnh đầu tư lưới điện truyền tải.</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Thúc đẩy chuyển đổi số công nghiệp, Tuyên truyền, hướng dẫn doanh nghiệp ứng dụng AI, IoT, tự động hóa dây chuyền sản xuất; duy trì hạ tầng phủ sóng 5G đạt 100% tại tất cả các khu công nghiệp.</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val="0"/>
          <w:sz w:val="28"/>
        </w:rPr>
        <w:t>4. Nghị quyết số 34-NQ/TU ngày 27/12/2025 của Tỉnh ủy về phát triển các khu, cụm công nghiệp</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sz w:val="28"/>
        </w:rPr>
        <w:t>4.1. Đánh giá kết quả</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Về tạo mặt bằng sạch: Đến ngày 25/9/2026, các khu, cụm công nghiệp đã giải phóng mặt bằng 603,47 ha, tập trung tại Khu công nghiệp Trấn Yên (khu phía Tây 109 ha, san nền đạt khoảng 80%), 02 dự án hạ tầng tiếp nhận cơ sở di dời Khu công nghiệp Đông Phố Mới (82,61 ha), các Khu công nghiệp Phía Nam, Minh Quân, Âu Lâu (35,86 ha trong năm 2026), Cụm công nghiệp Thống Nhất 1 (chi trả bồi thường 142/144 hộ), các Cụm công nghiệp Phú Thịnh 2 (54,49 ha), Phú Thịnh 3 (30,6 ha); diện tích mặt bằng sạch đạt 361,47 ha, bằng 72,29% mục tiêu 500 ha của năm 2026.</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Về thành lập mới khu, cụm công nghiệp: Đã thành lập mới 1.440,29 ha, vượt gần 03 lần mục tiêu Nghị quyết (trên 500 ha), gồm: 05 khu công nghiệp được chấp thuận chủ trương đầu tư đồng thời chấp thuận nhà đầu tư với tổng diện tích 1.255,29 ha, tổng vốn đăng ký khoảng 13.990 tỷ đồng: Bản Qua; Phú Xuân và Phú Xuân 1; Võ Lao; Cam Đường; nâng tổng số lên 12 khu công nghiệp đã thành lập hoặc được chấp thuận chủ trương đầu tư, vượt mục tiêu trên 08 khu; 03 cụm công nghiệp được thành lập với tổng diện tích 185 ha, tổng mức đầu tư 1.621,85 tỷ đồng: Bảo Minh (60 ha, Mông Sơn (50 ha) và Yên Hợp 2 (75 ha), nâng tổng số cụm công nghiệp đã hình thành lên 25 cụm. Cụm công nghiệp Xuân Ái (75 ha) đã trình Ủy ban nhân dân tỉnh thành lập; đang thẩm định hồ sơ thành lập 05 Cụm công nghiệp Tân Nguyên, Tân Hợp, Bản Phiệt 1, Châu Quế, Phú Thịnh 6 (302 ha) và hoàn thiện hồ sơ trình thành lập 06 cụm có hạ tầng đầu tư bằng ngân sách (Bắc Văn Yên, Đông An, Yên Thế, Âu Lâu, Sơn Thịnh, Hưng Khánh); dự kiến năm 2026 hoàn thành vượt mục tiêu thành lập mới ít nhất 05 cụm công nghiệp.</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Về tháo gỡ khó khăn và điều chỉnh quy hoạch: Tham mưu Ủy ban nhân dân tỉnh điều chỉnh Quyết định thành lập các Cụm công nghiệp Phú Thịnh 2 (Quyết định số 1335/QĐ-UBND ngày 21/4/2026), Minh Quân (Quyết định số 2586/QĐ-UBND ngày 28/7/2026), Phú Thịnh 1 (Quyết định số 3725/QĐ-UBND ngày 09/10/2026) phù hợp địa giới hành chính mới và tiến độ thực tế; thành lập Ban Chỉ đạo phát triển các Khu công nghiệp Võ Lao, Bản Qua (Quyết định số 2029/QĐ-UBND ngày 10/6/2026). Tổng hợp tình hình từng cụm công nghiệp, xác định rõ vướng mắc, cơ quan chịu trách nhiệm, thời hạn xử lý, phục vụ cuộc họp ngày 06/10/2026 của Chủ tịch Ủy ban nhân dân tỉnh; Chủ tịch Ủy ban nhân dân tỉnh đã kết luận, giao nhiệm vụ và mốc hoàn thành cho từng sở, ngành, địa phương, chủ đầu tư (Thông báo số 181/TB-VPUBND ngày 08/10/2026 của Văn phòng Ủy ban nhân dân tỉnh). Hướng dẫn nhà đầu tư lập hồ sơ thành lập các Cụm công nghiệp An Thịnh, Cam Đường 1; phối hợp Ủy ban nhân dân phường Yên Bái xây dựng Đề án di dời Cụm công nghiệp Đầm Hồng sang Cụm công nghiệp Âu Lâu, hoàn thành trong tháng 10/2026.</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Về công tác quản lý nhà nước: Đã tham mưu Ủy ban nhân dân tỉnh ban hành Quy chế quản lý cụm công nghiệp trên địa bàn tỉnh (Quyết định số 16/2026/QĐ-UBND ngày 25/02/2026). Kịp thời hướng dẫn triển khai Nghị định số 303/2026/NĐ-CP ngày 01/8/2026 của Chính phủ sửa đổi, bổ sung Nghị định số 32/2024/NĐ-CP (Văn bản số 5541/SCT-CN ngày 09/9/2026), tổ chức hội nghị hướng dẫn các xã, phường ngày 15/9/2026; rà soát điều kiện thành lập cụm mới đối với toàn bộ 99 xã, phường. Xây dựng bộ tiêu chí đánh giá thống nhất, tham mưu thành lập Hội đồng đánh giá lựa chọn chủ đầu tư hạ tầng các Cụm công nghiệp Tân Nguyên (Quyết định số 2549/QĐ-UBND ngày 23/7/2026), Mông Sơn (Quyết định số 2736/QĐ-UBND ngày 06/8/2026), Xuân Ái (Quyết định số 3226/QĐ-UBND ngày 09/9/2026). Thiết lập chế độ báo cáo hằng tuần của chủ đầu tư hạ tầng cụm công nghiệp (Văn bản số 5563/SCT-CN ngày 10/9/2026); theo dõi, tổng hợp kết quả thực hiện Nghị quyết số 34-NQ/TU hằng tháng.</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sz w:val="28"/>
        </w:rPr>
        <w:t>4.2. Nhiệm vụ, giải pháp</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Đôn đốc quyết liệt giải phóng mặt bằng tại các khu công nghiệp Trấn Yên (khu phía Đông), Phú Xuân, Phú Xuân 1, Võ Lao, Cam Đường, Bản Qua và các Cụm công nghiệp Phú Thịnh 1, Phú Thịnh 2, Phú Thịnh 3. Bàn giao khoảng 30 ha mặt bằng Khu công nghiệp Võ Lao trong tháng 11/2026. Xử lý dứt điểm vướng mắc chồng lấn ranh giới với Công ty cổ phần Chè Văn Hưng. Đẩy nhanh san gạt trên diện tích đã giải phóng mặt bằng, phấn đấu hoàn thành mục tiêu 500 ha mặt bằng sạch năm 2026.</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Tham mưu Ủy ban nhân dân tỉnh ban hành Quyết định thành lập Cụm công nghiệp Xuân Ái. Thẩm định hồ sơ đề nghị thành lập các Cụm công nghiệp Tân Hợp, Châu Quế, Tân Nguyên, Phú Thịnh 6. Hướng dẫn lập hồ sơ đề nghị thành lập các Cụm công nghiệp Bản Phiệt 1, An Thịnh và 08 cụm công nghiệp có hạ tầng đầu tư bằng vốn ngân sách nhà nước.</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Đôn đốc khởi công các Cụm công nghiệp Y Can, Minh Quân trong tháng 11/2026; Cụm công nghiệp Mông Sơn trước ngày 31/12/2026.</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Phối hợp Ban Quản lý Khu kinh tế tỉnh, Ban Quản lý các khu công nghiệp tỉnh triển khai các bước tiếp theo đối với 05 khu công nghiệp đã được chấp thuận chủ trương đầu tư. Đôn đốc khởi công Khu công nghiệp Cam Đường. Hoàn thành điều chỉnh quy hoạch chi tiết Khu công nghiệp Bản Qua. Đẩy nhanh phê duyệt quy hoạch phân khu các Khu công nghiệp Y Can, Đông An, Minh Quân và điều chỉnh quy hoạch phân khu Khu công nghiệp Phía Nam (Khu A).</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Đôn đốc hoàn thành hệ thống xử lý nước thải tập trung tại các Khu công nghiệp Phía Nam, Minh Quân, Âu Lâu; rà soát đầu tư trạm xử lý nước thải các cụm công nghiệp.</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Phối hợp triển khai Đề án chuyển đổi Khu công nghiệp Tằng Loỏng sang mô hình khu công nghiệp sinh thái và di dời các khu, cụm công nghiệp phục vụ dự án đường sắt Lào Cai - Hà Nội - Hải Phòng.</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val="0"/>
          <w:sz w:val="28"/>
        </w:rPr>
        <w:t>5. Bài toán lớn số 2</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sz w:val="28"/>
        </w:rPr>
        <w:t>5.1. Sự cần thiết ban hành</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Bài toán lớn số 2 thuộc Danh mục bài toán lớn về khoa học, công nghệ, đổi mới sáng tạo và chuyển đổi số tại Thông báo số 78/TB-UBND ngày 28/5/2026 của Ủy ban nhân dân tỉnh, triển khai theo Công văn số 7698/UBND-NC ngày 29/7/2026 của Ủy ban nhân dân tỉnh.</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Khoáng sản của tỉnh chủ yếu khai thác, tuyển và xuất bán ở dạng tinh quặng, bán thành phẩm (phốt pho vàng, đồng tấm, tinh quặng sắt), giá trị phụ thuộc chu kỳ giá; chưa có cơ sở tinh chế đạt chuẩn vật liệu, hóa chất công nghệ cao; Khu công nghiệp Tằng Loỏng không còn quỹ đất, các khu công nghiệp mới đang giải phóng mặt bằng.</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Việc ban hành Kế hoạch là cần thiết nhằm cụ thể hóa Nghị quyết số 57-NQ/TW ngày 22/12/2024 của Bộ Chính trị, Kết luận số 83-KL/TW ngày 08/8/2026 của Bộ Chính trị về phát triển công nghiệp vật liệu; chuyển từ khai thác, xuất bán nguyên liệu thô sang tinh chế, chế biến sâu, thu hút doanh nghiệp đầu tư vào các khu công nghiệp, cụm công nghiệp xanh, sạch, sinh thái của tỉnh.</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sz w:val="28"/>
        </w:rPr>
        <w:t>5.2. Quá trình xây dựng và nội dung cơ bản của kế hoạch</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Quá trình hoàn thiện: Sở Công Thương trình dự thảo tại Tờ trình số 5728/TTr-SCT ngày 15/9/2026; Ủy ban nhân dân tỉnh yêu cầu hoàn thiện theo yêu cầu "sáu rõ" tại Công văn số 9958/UBND-NC ngày 30/9/2026; Sở Công Thương hoàn thiện, trình lại tại Tờ trình số 6283/TTr-SCT ngày 05/10/2026.</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Lấy ý kiến: Sở Công Thương lấy ý kiến tại Công văn số 6199/SCT-CN ngày 02/10/2026; 03 cơ quan có văn bản tham gia (Sở Khoa học và Công nghệ, Sở Nông nghiệp và Môi trường, Sở Tài chính), đều thống nhất bố cục, quan điểm, cách tiếp cận; các ý kiến đã được tiếp thu, giải trình.</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Kết cấu: Kế hoạch gồm 07 mục và 03 phụ lục (Phụ lục I nhiệm vụ cụ thể; Phụ lục II Danh mục dự án thu hút đầu tư; Phụ lục III tổng hợp nguồn lực).</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sz w:val="28"/>
        </w:rPr>
        <w:t>5.3. Nội dung cơ bản</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Phạm vi, trọng tâm: ba chuỗi apatit, đồng, sắt; đất hiếm, graphit tập trung đưa các mỏ đã cấp phép vào khai thác, chuẩn bị tinh chế theo tầm nhìn đến năm 2050. Dự án mới bố trí tại các khu công nghiệp Võ Lao, Phú Xuân, Phú Xuân 1, Bản Qua, Cam Đường; Khu công nghiệp Tằng Loỏng chuyển đổi sang khu công nghiệp sinh thái, không sử dụng thêm đất.</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Mục tiêu đến năm 2030: năm 2027 hoàn thành rà soát nguồn nguyên liệu, Danh mục dự án và bộ tiêu chí lựa chọn dự án; thu hút 02 - 03 dự án tinh chế, chế biến sâu quy mô lớn vào khu công nghiệp (phấn đấu); nhà máy axit phốt phoric cấp điện tử vận hành thương mại năm 2027; Khu công nghiệp Tằng Loỏng đạt tiêu chí khu công nghiệp sinh thái; 100% khu công nghiệp đang hoạt động và 100% cụm công nghiệp có hệ thống xử lý nước thải tập trung; ít nhất 06 nhiệm vụ khoa học và công nghệ, 03 quy trình công nghệ được chuyển giao, 02 mô hình kinh tế tuần hoàn.</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Nhiệm vụ: 06 nội dung, 12 nhiệm vụ cụ thể theo thứ tự việc làm trước, việc làm tiếp theo: rà soát nguồn nguyên liệu, quỹ đất và điểm nghẽn (hoàn thành năm 2027); xây dựng Danh mục dự án và thu hút đầu tư; xây dựng khu, cụm công nghiệp xanh, sạch, sinh thái; nghiên cứu, chuyển giao công nghệ tinh chế và kinh tế tuần hoàn; dữ liệu vùng nguyên liệu chiến lược và an toàn bức xạ; cơ chế, chính sách, nhân lực và truyền thông.</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Danh mục dự án: 14 dự án, gồm nhóm A 05 dự án đang đầu tư, đã có nhà đầu tư hoặc giấy phép (axit phốt phoric cấp điện tử; mỏ sắt Quý Xa; đất hiếm Bến Đền; graphit Nậm Thi, Bảo Hà; Khu liên hợp gang thép Võ Lao) và nhóm B 09 dự án kêu gọi đầu tư mới (hóa chất phốt pho tinh khiết, muối phốt phát cho pin; phốt pho đỏ; tuyển quặng apatit nghèo; tái chế gyps, xỉ; dây, cáp điện, đồng kỹ thuật; tinh luyện đồng, lá đồng điện phân; thu hồi kim loại từ quặng đuôi; thủy luyện đất hiếm, tinh chế graphit; dự án khác do nhà đầu tư đề xuất).</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sz w:val="28"/>
        </w:rPr>
        <w:t>5.4. Nguồn lực và tổ chức thực hiện</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Kinh phí sự nghiệp: 13,5 tỷ đồng giai đoạn 2027 - 2030 (sự nghiệp khoa học và công nghệ 10 tỷ đồng; sự nghiệp kinh tế 2 tỷ đồng; sự nghiệp đào tạo 1 tỷ đồng; chi thường xuyên 0,5 tỷ đồng); năm 2026 thực hiện bằng chi thường xuyên của cơ quan chủ trì.</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Vốn đầu tư công và vốn doanh nghiệp: Vốn đầu tư công đã có trong kế hoạch trung hạn giai đoạn 2026 - 2030 tại Quyết định số 2390/QĐ-UBND ngày 09/7/2026 của Ủy ban nhân dân tỉnh là 1.338,25 tỷ đồng cho hạ tầng khu, cụm công nghiệp và kết nối vùng nguyên liệu; vốn của doanh nghiệp đầu tư các dự án theo Danh mục, không tính vào kinh phí Kế hoạch.</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Tổ chức thực hiện: Sở Công Thương là cơ quan đầu mối, không thành lập thêm tổ chức phối hợp liên ngành; báo cáo 6 tháng, hằng năm lồng ghép với báo cáo định kỳ về khu, cụm công nghiệp; sơ kết năm 2028, tổng kết năm 2030.</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Nhiệm vụ thời gian tới: Theo dõi, tiếp thu ý kiến của Ủy ban nhân dân tỉnh đối với dự thảo Kế hoạch phát triển công nghiệp khai thác và tinh chế nguyên liệu phục vụ phát triển công nghệ chiến lược (Sở đã trình tại Tờ trình số 6283/TTr-SCT ngày 05/10/2026).</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Kiến nghị: Ủy ban nhân dân tỉnh ban hành Kế hoạch; giao Sở Công Thương, Sở Khoa học và Công nghệ gửi dự toán năm 2027 để trình Hội đồng nhân dân tỉnh tại kỳ họp cuối năm 2026; Sở Khoa học và Công nghệ đưa nhiệm vụ vào danh mục đặt hàng năm 2027; Sở Công Thương tham mưu văn bản kiến nghị các Bộ về quản lý khoáng sản chiến lược theo chuỗi giá trị trong năm 2027.</w:t>
      </w:r>
    </w:p>
    <w:p>
      <w:r>
        <w:rPr>
          <w:rFonts w:ascii="Times New Roman" w:hAnsi="Times New Roman" w:eastAsia="Times New Roman" w:cs="Times New Roman"/>
        </w:rPr>
        <w:br w:type="page"/>
      </w:r>
    </w:p>
    <w:p>
      <w:pPr>
        <w:spacing w:after="0"/>
        <w:jc w:val="center"/>
        <w:rPr>
          <w:rFonts w:ascii="Times New Roman" w:hAnsi="Times New Roman" w:eastAsia="Times New Roman" w:cs="Times New Roman"/>
        </w:rPr>
      </w:pPr>
      <w:r>
        <w:rPr>
          <w:rFonts w:ascii="Times New Roman" w:hAnsi="Times New Roman" w:eastAsia="Times New Roman" w:cs="Times New Roman"/>
          <w:b/>
          <w:i w:val="0"/>
          <w:sz w:val="28"/>
        </w:rPr>
        <w:t>Phụ lục 02</w:t>
      </w:r>
    </w:p>
    <w:p>
      <w:pPr>
        <w:spacing w:after="0"/>
        <w:jc w:val="center"/>
        <w:rPr>
          <w:rFonts w:ascii="Times New Roman" w:hAnsi="Times New Roman" w:eastAsia="Times New Roman" w:cs="Times New Roman"/>
        </w:rPr>
      </w:pPr>
      <w:r>
        <w:rPr>
          <w:rFonts w:ascii="Times New Roman" w:hAnsi="Times New Roman" w:eastAsia="Times New Roman" w:cs="Times New Roman"/>
          <w:b/>
          <w:i w:val="0"/>
          <w:sz w:val="28"/>
        </w:rPr>
        <w:t>GIẢI PHÁP TRỌNG TÂM DÀI HẠN GIAI ĐOẠN 2026 - 2030</w:t>
      </w:r>
    </w:p>
    <w:p>
      <w:pPr>
        <w:spacing w:after="120"/>
        <w:jc w:val="center"/>
        <w:rPr>
          <w:rFonts w:ascii="Times New Roman" w:hAnsi="Times New Roman" w:eastAsia="Times New Roman" w:cs="Times New Roman"/>
        </w:rPr>
      </w:pPr>
      <w:r>
        <w:rPr>
          <w:rFonts w:ascii="Times New Roman" w:hAnsi="Times New Roman" w:eastAsia="Times New Roman" w:cs="Times New Roman"/>
          <w:b w:val="0"/>
          <w:i/>
          <w:sz w:val="28"/>
        </w:rPr>
        <w:t>(Kèm theo Báo cáo số:        /BC-SCT ngày      tháng 10 năm 2026 của Sở Công Thương tỉnh Lào Cai)</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Bước vào giai đoạn 2026-2030, ngành Công Thương tỉnh Lào Cai đề xuất một số giải pháp trọng tâm ngành xác định cần thực hiện trong thời gian tới như sau:</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val="0"/>
          <w:sz w:val="28"/>
        </w:rPr>
        <w:t>(1) Đẩy mạnh thực hiện đột phá về xây dựng kết cấu hạ tầng</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Tập trung ưu tiên nguồn lực đầu tư xây dựng kết cấu hạ tầng giao thông đường bộ, đường sắt và đường hàng không. Tập trung hoàn thành các dự án giao thông chiến lược như cao tốc Nội Bài - Lào Cai (4 làn xe), đường sắt khổ tiêu chuẩn 1.435mm và Cảng hàng không Sa Pa; các tuyến giao thông liên kết nội vùng.</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Xây dựng Khu kinh tế cửa khẩu Lào Cai đa ngành, điểm đột phá, cực phát triển, trung tâm kinh tế về công nghiệp, thương mại, du lịch và tài chính của Lào Cai và các tỉnh vùng Trung du miền núi Bắc Bộ, trở thành một trong những trung tâm giao thương của khu vực ASEAN và vùng Tây Nam - Trung Quốc, với trọng tâm là triển khai thí điểm Khu hợp tác qua biên giới, xây dựng các cặp cửa khẩu thông minh và Trung tâm logistics quốc tế.</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Đẩy nhanh tiến độ thi công cầu qua sông biên giới Bản Vược - Bá Sái phấn đấu hợp long nhịp chính trong tháng 11/2026 và hoàn thành trong năm 2026; đồng bộ hạ tầng lối thông quan Bản Vược – Bá Sái (Quốc môn, nhà kiểm soát liên ngành, đường giao thông) để mở lối thông quan ngay khi cầu hoàn thành.</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Huy động nguồn lực ngoài ngân sách, áp dụng phương thức đối tác công tư (PPP) theo quy định để đầu tư hạ tầng logistics, dịch vụ cửa khẩu: cảng cạn, kho ngoại quan, chuỗi kho lạnh, trung tâm hoàn tất đơn hàng thương mại điện tử, trung tâm kiểm nghiệm tại khu vực cửa khẩu; liên kết doanh nghiệp logistics Hà Nội, Hải Phòng, Quảng Ninh với doanh nghiệp Lào Cai, Vân Nam cung cấp dịch vụ logistics trọn gói, đa phương thức từ Vân Nam qua Lào Cai ra cảng biển Hải Phòng, Quảng Ninh, đón đầu tuyến đường sắt khổ tiêu chuẩn.</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val="0"/>
          <w:sz w:val="28"/>
        </w:rPr>
        <w:t>(2) Tập trung khai thác triệt để, chế biến sâu tài nguyên khoáng sản và khai thác có hiệu quả nguồn năng lượng</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Tái cơ cấu công nghiệp: Tập trung phát triển chuỗi chế biến sâu các khoáng sản thế mạnh (Apatit, Đồng, Graphit, đất hiếm) và nông lâm sản đặc hữu (quế, gỗ, dược liệu, chè). Ưu tiên các dự án chế biến sâu, sử dụng hiệu quả tài nguyên khoáng sản, tiết kiệm năng lượng, thân thiện với môi trường thay vì xuất khẩu thô. Phát triển công nghiệp hỗ trợ, cơ khí chế tạo, điện tử quy mô lớn. Đẩy mạnh mô hình sản xuất tái chế, giải quyết triệt để môi trường bãi thải gyps.</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Phát triển công nghiệp thân thiện với môi trường, công nghiệp xanh, trọng tâm việc triển khai Đề án số 08 phát triển công nghiệp tỉnh Lào Cai theo hướng xanh, hiện đại giai đoạn 2026-2030.</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Thúc đẩy phát triển năng lượng tái tạo, Đầu tư khai thác khu vực hồ Thác Bà, Sông Hồng, điện sinh khối, điện gió, điện mặt trời; hoàn thiện hạ tầng năng lượng kết nối với tỉnh Vân Nam (Trung Quốc); giảm phụ thuộc vào thủy điện.</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Phối hợp cải tạo, nâng cấp lưới 220kV, 110kV; đẩy nhanh tiến độ lưới điện truyền tải để đấu nối và tiêu thụ hết điện năng từ các nhà máy thủy điện. Phát huy tối đa nguồn lực, lồng ghép các nguồn vốn để đầu tư phát triển lưới điện nông thôn.</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val="0"/>
          <w:sz w:val="28"/>
        </w:rPr>
        <w:t>(3) Thu hút đầu tư phát triển các khu công nghiệp, cụm công nghiệp</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Triển khai đồng bộ Đề án số 08 về phát triển công nghiệp tỉnh Lào Cai theo hướng xanh, hiện đại giai đoạn 2026-2030; Nghị quyết số 34-NQ/TU của Tỉnh uỷ Lào Cai ngày 27/12/2025 về phát triển các khu, cụm công nghiệp trên địa bàn tỉnh Lào Cai. Tạo lập tối thiểu 500 ha mặt bằng sạch đất công nghiệp trong năm 2026. Phối hợp chặt chẽ với Ban Quản lý Khu kinh tế tỉnh, Ban Quản lý các Khu công nghiệp tỉnh để giải quyết nhanh thủ tục thành lập, lập quy hoạch phân khu và quy hoạch sử dụng đất.</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Triển khai Đề án chuyển đổi Khu công nghiệp Tằng Loỏng sang mô hình khu công nghiệp sinh thái (Nghị quyết số 34-NQ/TU giao năm 2026 là năm nghiên cứu thực hiện).</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Đầu tư trạm xử lý nước thải tập trung các cụm công nghiệp, phấn đấu 100% cụm công nghiệp có hệ thống xử lý nước thải đến năm 2030.</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Đầu tư xây dựng hạ tầng kỹ thuật các khu, cụm công nghiệp mới thành lập, mới chấp thuận chủ trương đầu tư (Võ Lao, Bản Qua, Cam Đường, Yên Hợp 2, Mông Sơn, Xuân Ái...) và 08 cụm công nghiệp vốn ngân sách nhà nước theo kế hoạch đầu tư công trung hạn.</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Lập quy hoạch phân khu, thu hút nhà đầu tư hạ tầng các khu công nghiệp tiềm năng (Việt Hồng 1, Việt Hồng 2, Thịnh Hưng, Lục Yên, Cốc Mỳ - Trịnh Tường, Thống Nhất).</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Thu hút nhà đầu tư thứ cấp, nâng tỷ lệ lấp đầy các khu, cụm công nghiệp.</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val="0"/>
          <w:sz w:val="28"/>
        </w:rPr>
        <w:t>(4) Thúc đẩy phát triển thương mại dịch vụ</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Triển khai hiệu quả Chương trình đưa hàng Việt về nông thôn và Cuộc vận động “Người Việt Nam ưu tiên dùng hàng Việt Nam”; đẩy mạnh các hoạt động kết nối cung cầu, liên kết với các địa phương trong nước để bổ sung nguồn hàng, bảo đảm đáp ứng nhu cầu tiêu dùng của Nhân dân trên địa bàn tỉnh.</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Quan tâm thu hút đầu tư xây dựng các cửa hàng xăng dầu, đến năm 2030, mỗi xã, phường có ít nhất 01 cửa hàng xăng dầu loại III trở lên. Nâng cấp, cải tạo các cửa hàng xăng dầu cũ để nâng cao chất lượng phục vụ sản xuất và tiêu dùng.</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Rà soát đầu tư, nâng cấp hệ thống chợ nông thôn, hình thành 03 chợ đầu mối bán buôn nông, lâm, thủy sản; Phát triển siêu thị, cửa hàng tiện ích phù hợp tại khu dân cư; Xây dựng chợ đầu mối bán buôn tại vùng sản xuất hàng hóa tập trung, có lợi thế giao thông.</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Tăng cường liên kết phát triển kinh tế dọc sông Hồng gắn với hoạt động xúc tiến thương mại. Tổ chức xúc tiến thương mại nội địa để tìm kiếm thị trường tiêu thụ sản phẩm địa phương. Duy trì, nâng cao chất lượng Hội chợ thương mại quốc tế Việt – Trung và Hội chợ thương mại biên giới Trung – Việt.</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Đầu tư phát triển hạ tầng thương mại biên giới và khu thương mại trong Khu kinh tế cửa khẩu Lào Cai theo quy hoạch.</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val="0"/>
          <w:sz w:val="28"/>
        </w:rPr>
        <w:t>(5) Đẩy mạnh công tác hỗ trợ doanh nghiệp</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Tăng cường tham mưu cho Ủy ban nhân dân tỉnh triển khai các giải pháp tháo gỡ khó khăn cho các dự án khai thác, chế biến khoáng sản và các dự án thủy điện trên địa bàn.</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Nắm bắt tình hình, đôn đốc chính quyền địa phương tháo gỡ dứt điểm vướng mắc giải phóng mặt bằng tại các khai trường mỏ Apatit, mỏ đồng để đảm bảo nguyên liệu cho các nhà máy.</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Tiếp tục cập nhật các dự án thủy điện, điện gió, điện mặt trời theo Quy hoạch điện VIII điều chỉnh vào quy hoạch tỉnh.</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val="0"/>
          <w:sz w:val="28"/>
        </w:rPr>
        <w:t>(6) Hợp tác Kinh tế Đối ngoại</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Nghiên cứu, tập trung triển khai có hiệu quả nội dung các thỏa thuận quốc tế đã ký kết với tỉnh Vân Nam, Trung Quốc.</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Tham mưu Ủy ban nhân dân tỉnh tăng cường trao đổi, hội đàm với các cơ quan hữu quan phía Trung Quốc nhằm thống nhất phương án rút ngắn thời gian trả kết quả kiểm nghiệm, kiểm dịch đối với mặt hàng trái cây tươi xuất khẩu của Việt Nam.</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Phát huy vai trò cầu nối, kết nối giao thương, chủ động thực hiện các dự án hỗ trợ tổ chức các Hội chợ, Hội nghị kết nối thương nhân xuất nhập khẩu các mặt hàng lợi thế của Trung Quốc và các nước ASEAN qua các cửa khẩu biên giới; Xây dựng các chương trình phát triển các mối liên kết dọc sông Hồng như sự kiện thường niên về hợp tác kinh tế sông Hồng, các liên kết kinh tế, kỹ thuật... mang tầm quốc tế, nhằm phát huy tối đa tiềm năng, thế mạnh của tỉnh và của vùng.</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val="0"/>
          <w:sz w:val="28"/>
        </w:rPr>
        <w:t>(7) Đẩy mạnh cải cách thủ tục hành chính tạo môi trường thu hút đầu tư thuận lợi</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Cải cách thủ tục hành chính (TTHC): Rà soát, đơn giản hóa thủ tục hành chính theo hướng tinh gọn, công khai, minh bạch. Đặc biệt là các lĩnh vực đất đai, đầu tư xây dựng, thành lập doanh nghiệp. Cắt giảm 30% thủ tục hành chính, số hóa 100% dịch vụ công.</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Cải thiện môi trường đầu tư kinh doanh: Hỗ trợ, tạo điều kiện thuận lợi tối đa cho người dân và doanh nghiệp. Thực hiện đồng bộ các giải pháp, phấn đấu duy trì trong nhóm tỉnh có chỉ số năng lực cạnh tranh (PCI) dẫn đầu cả nước.</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Tăng cường kỷ luật, kỷ cương công vụ; thực hiện đánh giá xếp loại cán bộ hằng quý bám sát định lượng sản phẩm đầu ra theo từng vị trí việc làm. Tiếp tục kiện toàn bộ máy tinh gọn, nâng cao năng lực thực thi cho đội ngũ cán bộ biệt phái, tổ công tác hỗ trợ chuyên môn cho chính quyền cấp xã.</w:t>
      </w:r>
    </w:p>
    <w:p>
      <w:r>
        <w:rPr>
          <w:rFonts w:ascii="Times New Roman" w:hAnsi="Times New Roman" w:eastAsia="Times New Roman" w:cs="Times New Roman"/>
        </w:rPr>
        <w:br w:type="page"/>
      </w:r>
    </w:p>
    <w:p>
      <w:pPr>
        <w:spacing w:after="0"/>
        <w:jc w:val="center"/>
        <w:rPr>
          <w:rFonts w:ascii="Times New Roman" w:hAnsi="Times New Roman" w:eastAsia="Times New Roman" w:cs="Times New Roman"/>
        </w:rPr>
      </w:pPr>
      <w:r>
        <w:rPr>
          <w:rFonts w:ascii="Times New Roman" w:hAnsi="Times New Roman" w:eastAsia="Times New Roman" w:cs="Times New Roman"/>
          <w:b/>
          <w:i w:val="0"/>
          <w:sz w:val="28"/>
        </w:rPr>
        <w:t>Phụ lục 03</w:t>
      </w:r>
    </w:p>
    <w:p>
      <w:pPr>
        <w:spacing w:after="0"/>
        <w:jc w:val="center"/>
        <w:rPr>
          <w:rFonts w:ascii="Times New Roman" w:hAnsi="Times New Roman" w:eastAsia="Times New Roman" w:cs="Times New Roman"/>
        </w:rPr>
      </w:pPr>
      <w:r>
        <w:rPr>
          <w:rFonts w:ascii="Times New Roman" w:hAnsi="Times New Roman" w:eastAsia="Times New Roman" w:cs="Times New Roman"/>
          <w:b/>
          <w:i w:val="0"/>
          <w:sz w:val="28"/>
        </w:rPr>
        <w:t>KIẾN NGHỊ, ĐỀ XUẤT</w:t>
      </w:r>
    </w:p>
    <w:p>
      <w:pPr>
        <w:spacing w:after="120"/>
        <w:jc w:val="center"/>
        <w:rPr>
          <w:rFonts w:ascii="Times New Roman" w:hAnsi="Times New Roman" w:eastAsia="Times New Roman" w:cs="Times New Roman"/>
        </w:rPr>
      </w:pPr>
      <w:r>
        <w:rPr>
          <w:rFonts w:ascii="Times New Roman" w:hAnsi="Times New Roman" w:eastAsia="Times New Roman" w:cs="Times New Roman"/>
          <w:b w:val="0"/>
          <w:i/>
          <w:sz w:val="28"/>
        </w:rPr>
        <w:t>(Kèm theo Báo cáo số:        /BC-SCT ngày      tháng 10 năm 2026 của Sở Công Thương tỉnh Lào Cai)</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val="0"/>
          <w:sz w:val="28"/>
        </w:rPr>
        <w:t>1. Đối với Trung ương (Chính phủ và các Bộ, ngành)</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Kiến nghị Chính phủ: Sớm ban hành các VBQPL gồm: Nghị định mới thay thế các Nghị định số 105/2017/NĐ-CP ngày 14/9/2017 của Chính phủ về kinh doanh rượu; Nghị định số 67/2013/NĐ-CP ngày 27/6/2013 của Chính phủ: Quy định chi tiết một số điều và biện pháp thi hành Luật phòng, chống tác hại của thuốc lá để tránh việc doanh nghiệp phải đối chiếu phức tạp giữa nhiều văn bản chồng chéo. Nghị định số 83/2014/NĐ-CP ngày 03/9/2014 của Chính phủ về kinh doanh xăng dầu.</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Kiến nghị Chính phủ và Bộ Công Thương: Xem xét sửa đổi Điều 2 và Điều 8 Nghị định số 303/2026/NĐ-CP (sửa đổi, bổ sung Nghị định số 32/2024/NĐ-CP) theo hướng bãi bỏ quy định khống chế trần diện tích cụm công nghiệp tối đa 75 ha, xóa bỏ ràng buộc về tỷ lệ lấp đầy khi thành lập hoặc mở rộng, đồng thời phân cấp toàn diện cho Ủy ban nhân dân cấp tỉnh chủ động quyết định quy mô và điều kiện thành lập căn cứ theo quy hoạch tỉnh, chỉ tiêu đất đai và nhu cầu thực tiễn. Kiến nghị này xuất phát từ thực tiễn Lào Cai sau sáp nhập có không gian địa bàn và quỹ đất rộng, nhu cầu thu hút các dự án chế biến sâu khoáng sản, công nghiệp phụ trợ quy mô lớn, liền thửa là rất cao; việc duy trì trần 75 ha buộc phải chia nhỏ cụm làm phát sinh thủ tục, tăng chi phí hạ tầng dùng chung và cản trở thu hút nhà đầu tư có tiềm lực. Bên cạnh đó, tiêu chí tỷ lệ lấp đầy tính theo cấp xã chưa sát thực tế miền núi - nơi nhiều cụm công nghiệp chậm lấp đầy do vướng mặt bằng hoặc hạ tầng chưa hoàn thiện chứ không phải thiếu nhu cầu - vô hình trung tạo rào cản ngăn các dự án mới tại những vị trí có sẵn lợi thế và nhà đầu tư tiềm năng vào triển khai.</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Kiến nghị Bộ Công Thương và Bộ Nội vụ: Hướng dẫn chi tiết hệ thống tiêu chí định lượng đánh giá công chức chuyên ngành công thương theo sản phẩm đầu ra. Xem xét cụ thể hóa chi tiết hơn hệ thống danh mục vị trí việc làm chuyên ngành công nghiệp, năng lượng ở cấp tỉnh và cấp xã nhằm phản ánh đúng tính chất quản lý nhà nước đa ngành, phức tạp và khối lượng công việc lớn sau sáp nhập (gồm khuyến công, quản lý KCN/CCN, vật liệu nổ, an toàn mỏ, hóa chất...).</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Kiến nghị Bộ Công Thương chỉ đạo Tập đoàn điện lực Việt Nam: Đẩy nhanh tiến độ đầu tư các dự án đường dây, trạm biến áp truyền tải điện trên địa bàn tỉnh, gồm: 01 dự án đang triển khai thi công và 03 dự án đang chuẩn bị đầu tư. Phối hợp chặt chẽ với chính quyền địa phương trong quá trình triển khai thực hiện dự án đảm bảo tiến độ theo quy hoạch phát triển điện lực đã được phê duyệt, đáp ứng yêu cầu cung cấp điện cho địa phương và giải phóng công suất phát điện của các nhà máy điện trên địa bàn. Đồng thời đầu tư lưới điện phục vụ các Khu, CCN, logictic trên địa bàn tỉnh.</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Kiến nghị Bộ Công Thương: (1) Sớm nghiên cứu, xây dựng và ban hành: Bộ tiêu chí, tiêu chuẩn kỹ thuật để đánh giá mức độ khai thác hợp lý, tiết kiệm và hiệu quả tài nguyên khoáng sản; Quy chuẩn kỹ thuật quốc gia đối với các loại tinh quặng sau tuyển phù hợp với yêu cầu của các cơ sở chế biến sâu, bảo đảm tính đồng bộ trong chuỗi sản xuất; Hướng dẫn phương pháp kiểm soát, giám sát khối lượng và chất lượng khoáng sản trong suốt quá trình khai thác, vận chuyển và tiêu thụ. (2) Sớm tham mưu ban hành khung cơ chế, chính sách phát triển điện mặt trời áp mái và khung giá điện đối với điện sinh khối, điện gió trên bờ, điện mặt trời tập trung; (3) Thông tư quy chuẩn kỹ thuật quốc gia về yêu cầu thiết kế trụ cấp/sạc điện cho ô tô điện làm căn cứ triển khai đầu tư hạ tầng trạm sạc.</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Kiến nghị Bộ Công Thương và Bộ Tài chính: xây dựng quy định về mức chiết khấu thương mại tối thiểu đối với mặt hàng xăng dầu nhằm đảm bảo trong điều hành, quản lý, chi phí, hạch toán kinh doanh của doanh nghiệp.</w:t>
      </w:r>
    </w:p>
    <w:p>
      <w:pPr>
        <w:keepNext/>
        <w:spacing w:after="120"/>
        <w:ind w:firstLine="567"/>
        <w:jc w:val="both"/>
        <w:rPr>
          <w:rFonts w:ascii="Times New Roman" w:hAnsi="Times New Roman" w:eastAsia="Times New Roman" w:cs="Times New Roman"/>
        </w:rPr>
      </w:pPr>
      <w:r>
        <w:rPr>
          <w:rFonts w:ascii="Times New Roman" w:hAnsi="Times New Roman" w:eastAsia="Times New Roman" w:cs="Times New Roman"/>
          <w:b/>
          <w:i w:val="0"/>
          <w:sz w:val="28"/>
        </w:rPr>
        <w:t>2. Đối với Tỉnh ủy, Ban Thường vụ, Thường trực Tỉnh ủy</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Bố trí nguồn lực đầu tư các dự án cấp điện từ lưới điện quốc gia cho các nhóm hộ, cụm dân cư trên địa bàn tỉnh Lào Cai với tổng vốn đầu tư 1.520,3 tỷ đồng (Cụ thể: Năm 2026: 242,5 tỷ đồng; năm 2027: 327,6 tỷ đồng; năm 2028: 491,9 tỷ đồng; năm 2029: 359,3 tỷ đồng; năm 2030: 99 tỷ đồng).</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Để đẩy nhanh tiến độ triển khai các dự án nguồn điện có trong Điều chỉnh Quy hoạch điện VIII, Điều chỉnh Quy hoạch tỉnh, Sở Công Thương kính đề nghị Thường trực Tỉnh uỷ giao Đảng ủy Ủy ban nhân dân tỉnh xem xét chỉ đạo:</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Giao Sở Tài chính: Tham mưu Ủy ban nhân dân tỉnh quy trình chấp thuận CTĐT đồng thời chấp thuận nhà đầu tư theo cơ chế đặc thù đối với các dự án thuộc địa bàn có điều kiện KT-XH đặc biệt khó khăn (áp dụng Nghị quyết 254/2025/QH15 và Quyết định số 1382/QĐ-UBND); hướng dẫn trình tự đấu thầu lựa chọn nhà đầu tư theo Luật Đầu tư đối với các dự án còn lại; Chủ trì tổ chức kiểm tra, giám sát đầu tư; kiên quyết tham mưu thu hồi chủ trương đầu tư đối với các dự án chậm tiến độ kéo dài do nguyên nhân chủ quan của nhà đầu tư.</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Giao Sở Công Thương: Chủ trì, tiếp tục rà soát đề xuất điều chỉnh Quy hoạch phát triển điện lực quốc gia tại Quyết định số 768/QĐ-TTg ngày 15/4/2025 của Thủ tướng Chính phủ; Phối hợp chặt chẽ với các sở, ngành, địa phương tham mưu Ủy ban nhân dân tỉnh thực hiện Quy hoạch, Kế hoạch thực hiện Quy hoạch điện VIII điều chỉnh; Đôn đốc, hướng dẫn các Nhà đầu tư thực hiện đầy đủ các quy định về đầu tư, xây dựng, quản lý vận hành công trình an toàn, hiệu quả; Đôn đốc, hỗ trợ chủ đầu tư các dự án thủy điện đẩy nhanh tiến độ, phấn đấu đưa các dự án vào vận hành phát điện trong năm 2026, như thuỷ điện: Hồ Bốn 2, Lán Bò.</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Giao Sở Nông nghiệp và Môi trường</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Chỉ đạo, hướng dẫn trong việc thực hiện quy định của pháp luật về đất đai, môi trường, lâm nghiệp đối với các dự án năng lượng để đẩy nhanh tiến độ giải phóng mặt bằng, chuyển đổi mục đích sử dụng đất, chuyển đổi mục đích sử dụng rừng,… hướng dẫn các địa phương, chủ đầu tư tháo gỡ vướng mắc về bồi thường, tái định cư, định giá đất, giao đất, cho thuê đất, bảo đảm bàn giao mặt bằng theo đúng tiến độ của từng dự án.</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Giao Sở Văn hoá, thể thao và Du lịch: Khẩn trương phối hợp với các cơ quan chuyên môn thuộc Bộ Văn hóa, Thể thao và Du lịch sớm hoàn thành điều chỉnh khoanh vùng các khu vực bảo vệ di tích lịch sử và danh lam thắng cảnh quốc gia Hồ Thác Bà làm cơ sở triển khai các dự án năng lượng đã được quy hoạch.</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Giao Ủy ban nhân dân các xã, phường nơi có dự án: Tăng cường công tác tuyên truyền, vận động, đối thoại với nhân dân để tạo sự đồng thuận trong công tác thu hồi đất, GPMB.; Kịp thời giải quyết các thủ tục thuộc thẩm quyền về bồi thường, tái định cư, cấp phép xây dựng theo phân cấp.</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Đề nghị Thường trực Tỉnh ủy chỉ đạo Đảng ủy Ủy ban nhân dân tỉnh lãnh đạo Ủy ban nhân dân tỉnh xem xét, chỉ đạo:</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Giao Sở Công Thương chủ trì, phối hợp các cơ quan liên quan rà soát, tham mưu cấp có thẩm quyền điều chỉnh quy hoạch, cập nhật trữ lượng, loại quặng và tiến độ thăm dò, khai thác đối với các mỏ có khả năng huy động sớm, gắn với nhu cầu nhà máy tuyển, chế biến sâu. Ưu tiên rà soát các khu vực apatit, đồng, sắt nêu trên;</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Rà soát các mỏ, nhà máy tuyển dừng hoạt động; phân loại vướng mắc về thủ tục, công nghệ, tài chính và thị trường để tham mưu phương án xử lý theo thẩm quyền.</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Giao Sở Tài chính chủ trì, phối hợp với các cơ quan liên quan tham mưu thu hút dự án đồng cán kéo, sản xuất dây, cáp điện từ đồng cathode; các dự án sau luyện kim, hóa chất và chế biến sâu khoáng sản; đôn đốc để sớm đưa dự nâng công suất của Công ty TNHH khoáng sản và luyện kim Việt Trung vào hoạt động trong thời gian sớm nhất. Quy mô, tiến độ đầu tư phải gắn với nguồn nguyên liệu hợp pháp, khả năng cung ứng ổn định, công nghệ phù hợp và thị trường tiêu thụ; xem xét điều kiện khôi phục các dự án hiện có trước khi mở rộng, nâng công suất.</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xml:space="preserve">- Giao Sở Khoa học và Công nghệ chủ trì, phối hợp với các cơ quan, doanh nghiệp liên quan rà soát nhu cầu đổi mới công nghệ; tham mưu đặt hàng, hỗ trợ nghiên cứu, thử nghiệm, ứng dụng và chuyển giao theo chức năng. Ưu tiên tuyển quặng apatit nghèo, nâng tỷ lệ thu hồi </w:t>
      </w:r>
      <w:r>
        <w:rPr>
          <w:rFonts w:ascii="Times New Roman" w:hAnsi="Times New Roman" w:eastAsia="Times New Roman" w:cs="Times New Roman"/>
          <w:b w:val="0"/>
          <w:i w:val="0"/>
          <w:sz w:val="28"/>
        </w:rPr>
        <w:t>P</w:t>
      </w:r>
      <w:r>
        <w:rPr>
          <w:rFonts w:ascii="Times New Roman" w:hAnsi="Times New Roman" w:eastAsia="Times New Roman" w:cs="Times New Roman"/>
          <w:b w:val="0"/>
          <w:i w:val="0"/>
          <w:sz w:val="28"/>
          <w:vertAlign w:val="subscript"/>
        </w:rPr>
        <w:t>2</w:t>
      </w:r>
      <w:r>
        <w:rPr>
          <w:rFonts w:ascii="Times New Roman" w:hAnsi="Times New Roman" w:eastAsia="Times New Roman" w:cs="Times New Roman"/>
          <w:b w:val="0"/>
          <w:i w:val="0"/>
          <w:sz w:val="28"/>
        </w:rPr>
        <w:t>O</w:t>
      </w:r>
      <w:r>
        <w:rPr>
          <w:rFonts w:ascii="Times New Roman" w:hAnsi="Times New Roman" w:eastAsia="Times New Roman" w:cs="Times New Roman"/>
          <w:b w:val="0"/>
          <w:i w:val="0"/>
          <w:sz w:val="28"/>
          <w:vertAlign w:val="subscript"/>
        </w:rPr>
        <w:t>5</w:t>
      </w:r>
      <w:r>
        <w:rPr>
          <w:rFonts w:ascii="Times New Roman" w:hAnsi="Times New Roman" w:eastAsia="Times New Roman" w:cs="Times New Roman"/>
          <w:b w:val="0"/>
          <w:i w:val="0"/>
          <w:sz w:val="28"/>
        </w:rPr>
        <w:t>; thu hồi thành phần có ích, nghiên cứu tách cát trong quặng đuôi tuyển đồng; tuần hoàn nước, giảm lượng thải và nhu cầu hồ chứa; nâng độ tinh khiết graphit, nghiên cứu tuyển, phân tách, tinh chế đất hiếm.</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Đề nghị Thường trực Tỉnh ủy chỉ đạo Ủy ban nhân dân tỉnh giao các sở, ngành nghiên cứu các đề nghị lớn của phía Trung Quốc liên quan đến thương mại biên giới, xuất nhập khẩu, logistics; trường hợp cần thiết, đối với nội dung vượt thẩm quyền của tỉnh, báo cáo các Bộ, ngành Trung ương theo quy định. Thống nhất nguyên tắc trả lời: nội dung thuộc thẩm quyền tỉnh thì chủ động giải quyết; nội dung vượt thẩm quyền chỉ ghi nhận, không cam kết khi chưa có ý kiến cấp có thẩm quyền; bảo đảm nguyên tắc có đi có lại, gắn với yêu cầu phía Trung Quốc mở cửa thị trường thủy sản, nông sản Việt Nam.</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Đề nghị Thường trực Tỉnh ủy chỉ đạo Ủy ban nhân dân tỉnh giao các sở, ngành nghiên cứu các đề nghị lớn của phía Trung Quốc (nêu tại Phiên họp lần thứ 12 Nhóm Công tác liên hợp 5 tỉnh, Hội nghị hợp tác Hành lang kinh tế lần thứ XII và các buổi làm việc với Sở Thương mại tỉnh Vân Nam, Cục Thương mại châu Hồng Hà), tham mưu phương án trả lời theo nguyên tắc có đi có lại; trường hợp cần thiết, đối với nội dung vượt thẩm quyền của tỉnh, báo cáo các Bộ, ngành Trung ương theo quy định, cụ thể:</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Về kết nối hạ tầng (Ủy ban Phát triển và Cải cách tỉnh Vân Nam đề nghị đồng bộ năng lực hạ tầng thông quan hai bên cửa khẩu, đẩy nhanh đường sắt khổ tiêu chuẩn kết nối Hà Khẩu – Lào Cai – Hà Nội – Hải Phòng, nghiên cứu cơ chế vận hành liên vận đường sắt, đường bộ): Giao Sở Xây dựng chủ trì, phối hợp Ban Quản lý Khu kinh tế tỉnh, Sở Tài chính rà soát tiến độ, nhu cầu vốn hạ tầng cửa khẩu Kim Thành, lối thông quan Bản Vược – Bá Sái, phương án kết nối ga Lào Cai – ga Hà Khẩu Bắc; giải phóng mặt bằng bãi KB2, tổ chức giao thông điểm cuối cao tốc; đề xuất bố trí vốn theo kế hoạch đầu tư công trung hạn.</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Về thuận lợi hóa vận tải qua biên giới (phía Vân Nam và Cục Thương mại châu Hồng Hà đề nghị bãi bỏ tiền ký quỹ (đặt cọc) giám sát hải quan đối với phương tiện vận tải; đơn giản hóa thủ tục, chuẩn hóa thị thực cho lái xe Trung Quốc; trang bị thiết bị kiểm tra cho lái xe tại luồng hàng hóa cửa khẩu Kim Thành, hiện mất gần 2 giờ/lượt): Đề nghị Chi cục Hải quan khu vực VII chủ trì, phối hợp Sở Xây dựng nghiên cứu chính sách ký quỹ trên cơ sở có đi có lại, gắn với việc phía Trung Quốc tạo thuận lợi tương ứng cho phương tiện Việt Nam; giao Ban Quản lý Khu kinh tế tỉnh chủ trì, phối hợp Ban Chỉ huy Bộ đội Biên phòng tỉnh, Công an tỉnh nghiên cứu bố trí thiết bị kiểm tra lái xe tại luồng hàng hóa cửa khẩu Kim Thành.</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Về thương mại điện tử qua biên giới (Sở Thương mại, Ủy ban Phát triển và Cải cách tỉnh Vân Nam, Cục Thương mại châu Hồng Hà đề nghị xây dựng trung tâm thông quan chuyên dụng hàng thương mại điện tử tại cửa khẩu Kim Thành, thông quan trong 52 giờ): Đề nghị Chi cục Hải quan khu vực VII chủ trì, phối hợp Ban Quản lý Khu kinh tế tỉnh, Sở Công Thương nghiên cứu phương án tổ chức điểm thông quan hàng thương mại điện tử qua biên giới tại Kim Thành, bố trí quỹ đất, kho bãi.</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Về kiểm dịch, mở cửa thị trường nông sản hai chiều (phía Vân Nam đề nghị Việt Nam đẩy nhanh đánh giá, cấp phép nhập khẩu một số loại quả tươi như việt quất, thanh mai, tỳ bà, mận; xây dựng phòng thí nghiệm kiểm nghiệm, kiểm dịch đạt chuẩn tại Lào Cai; áp dụng khai báo trước, giám sát linh hoạt đối với nông sản tươi sống, hàng đông lạnh): Giao Sở Nông nghiệp và Môi trường chủ trì nghiên cứu, báo cáo Bộ Nông nghiệp và Môi trường xem xét theo quy định về phân tích nguy cơ dịch hại; đồng thời đề xuất nội dung đề nghị phía Trung Quốc có đi có lại (công bố danh mục thủy sản được nhập khẩu qua cửa khẩu Lào Cai, hoàn thiện điều kiện nhập khẩu trái cây, thủy sản tại ga đường sắt Hà Khẩu, rút ngắn thời gian kiểm dịch sầu riêng). Giao Sở Tài chính nghiên cứu phương án huy động vốn ngoài ngân sách, kể cả phương thức PPP, đầu tư trung tâm kiểm nghiệm, kho lạnh, hạ tầng logistics tại khu vực cửa khẩu.</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Về cửa khẩu thông minh (phía Vân Nam đề nghị thí điểm vận tải không người lái qua biên giới tại cặp cửa khẩu Kim Thành – Bắc Sơn): Giao Ban Quản lý Khu kinh tế tỉnh chủ trì, phối hợp Chi cục Hải quan khu vực VII, Ban Chỉ huy Bộ đội Biên phòng tỉnh, Công an tỉnh nghiên cứu phương án thử nghiệm phương tiện vận chuyển hàng hóa tự hành (IGV) theo Quyết định số 453/QĐ-TTg và Thông tư số 128/2026/TT-BTC.</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Về Khu hợp tác kinh tế qua biên giới và hợp tác sản xuất (Sở Thương mại, Ủy ban Phát triển và Cải cách tỉnh Vân Nam đề nghị thiết lập cơ chế phối hợp hằng tháng giữa khu Hà Khẩu và Lào Cai, cùng lập quy hoạch; thúc đẩy mô hình “hai nước hai khu”, “một doanh nghiệp hai nhà máy”; nghiên cứu cơ chế ưu đãi đặc thù cấp Chính phủ; đề nghị Lào Cai kiến nghị Bộ Công Thương ưu tiên xây dựng Khu hợp tác Hà Khẩu – Lào Cai và làm rõ trình tự): Giao Sở Công Thương chủ trì, phối hợp Ban Quản lý Khu kinh tế tỉnh, Sở Ngoại vụ nghiên cứu, tham mưu phương án trả lời theo mô hình “hai quốc gia, hai khu vực” tại Thông báo số 512/TB-VPCP; tại lần trình này, tỉnh không đề xuất cơ chế, chính sách mới chưa có trong văn bản quy phạm pháp luật hiện hành; các nội dung phối hợp song phương chỉ triển khai khi có căn cứ song phương có hiệu lực.</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Chỉ đạo xem xét, bổ sung định biên số lượng biên chế công chức phù hợp cho Sở Công Thương, gồm: Bổ sung thêm 03 biên chế về xây dựng, thuỷ lợi công trình và kỹ sư công nghệ thông tin; và biên chế hiện có 56/57 người, cho phép tuyển dụng 01 công chức ở vị trí chuyên viên ngoại thương (thành thạo tiếng Trung) để đảm bảo công việc quản lý nhà nước chuyên ngành tăng cao sau sáp nhập; cho phép cơ chế phân cấp tuyển dụng mới công chức chuyên môn sâu và không thực hiện cắt giảm biên chế cơ học ngành trong các năm tiếp theo.</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Xem xét, đồng ý cho phép Sở Công Thương được rút 01 đồng chí cán bộ chuyên ngành thương mại đang tăng cường tại phường Lào Cai từ tháng 8/2025 đến nay. Với lý do, hiện nay lực lượng cán bộ công chức phòng Quản lý Thương mại đang thiếu do một số đồng chí xin nghỉ thôi việc và nghỉ chế độ 178.</w:t>
      </w:r>
    </w:p>
    <w:p>
      <w:pPr>
        <w:spacing w:after="120"/>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Đề nghị Tỉnh ủy, Ủy ban nhân dân tỉnh xem xét, cho chủ trương để Sở Công Thương thanh lý 01 xe ô tô đã được sử dụng từ năm 2012 và mua 01 xe mới để đảm bảo điều kiện công tác.</w:t>
      </w:r>
    </w:p>
    <w:p>
      <w:r>
        <w:rPr>
          <w:rFonts w:ascii="Times New Roman" w:hAnsi="Times New Roman" w:eastAsia="Times New Roman" w:cs="Times New Roman"/>
        </w:rPr>
        <w:br w:type="page"/>
      </w:r>
    </w:p>
    <w:p>
      <w:pPr>
        <w:spacing w:after="0"/>
        <w:jc w:val="center"/>
        <w:rPr>
          <w:rFonts w:ascii="Times New Roman" w:hAnsi="Times New Roman" w:eastAsia="Times New Roman" w:cs="Times New Roman"/>
        </w:rPr>
      </w:pPr>
      <w:r>
        <w:rPr>
          <w:rFonts w:ascii="Times New Roman" w:hAnsi="Times New Roman" w:eastAsia="Times New Roman" w:cs="Times New Roman"/>
          <w:b/>
          <w:i w:val="0"/>
          <w:sz w:val="28"/>
        </w:rPr>
        <w:t>Phụ biểu</w:t>
      </w:r>
    </w:p>
    <w:p>
      <w:pPr>
        <w:spacing w:after="0"/>
        <w:jc w:val="center"/>
        <w:rPr>
          <w:rFonts w:ascii="Times New Roman" w:hAnsi="Times New Roman" w:eastAsia="Times New Roman" w:cs="Times New Roman"/>
        </w:rPr>
      </w:pPr>
      <w:r>
        <w:rPr>
          <w:rFonts w:ascii="Times New Roman" w:hAnsi="Times New Roman" w:eastAsia="Times New Roman" w:cs="Times New Roman"/>
          <w:b/>
          <w:i w:val="0"/>
          <w:sz w:val="28"/>
        </w:rPr>
        <w:t>KỊCH BẢN PHÁT TRIỂN KINH TẾ NĂM 2026 TỈNH LÀO CAI - NGÀNH CÔNG THƯƠNG</w:t>
      </w:r>
    </w:p>
    <w:p>
      <w:pPr>
        <w:spacing w:after="120"/>
        <w:jc w:val="center"/>
        <w:rPr>
          <w:rFonts w:ascii="Times New Roman" w:hAnsi="Times New Roman" w:eastAsia="Times New Roman" w:cs="Times New Roman"/>
        </w:rPr>
      </w:pPr>
      <w:r>
        <w:rPr>
          <w:rFonts w:ascii="Times New Roman" w:hAnsi="Times New Roman" w:eastAsia="Times New Roman" w:cs="Times New Roman"/>
          <w:b w:val="0"/>
          <w:i/>
          <w:sz w:val="28"/>
        </w:rPr>
        <w:t>(Kèm theo Báo cáo số:        /BC-SCT ngày      tháng 10 năm 2026 của Sở Công Thương tỉnh Lào Cai)</w:t>
      </w:r>
    </w:p>
    <w:tbl>
      <w:tblPr>
        <w:tblStyle w:val="TableGrid"/>
        <w:tblW w:type="auto" w:w="0"/>
        <w:jc w:val="center"/>
        <w:tblLayout w:type="fixed"/>
        <w:tblLook w:firstColumn="1" w:firstRow="1" w:lastColumn="0" w:lastRow="0" w:noHBand="0" w:noVBand="1" w:val="04A0"/>
        <w:tblLayout w:type="fixed"/>
      </w:tblPr>
      <w:tblGrid>
        <w:gridCol w:w="397"/>
        <w:gridCol w:w="1984"/>
        <w:gridCol w:w="680"/>
        <w:gridCol w:w="907"/>
        <w:gridCol w:w="850"/>
        <w:gridCol w:w="850"/>
        <w:gridCol w:w="850"/>
        <w:gridCol w:w="850"/>
        <w:gridCol w:w="850"/>
        <w:gridCol w:w="850"/>
      </w:tblGrid>
      <w:tr>
        <w:tc>
          <w:tcPr>
            <w:tcW w:type="dxa" w:w="397"/>
          </w:tcPr>
          <w:p>
            <w:pPr>
              <w:spacing w:after="0"/>
              <w:jc w:val="center"/>
              <w:rPr>
                <w:rFonts w:ascii="Times New Roman" w:hAnsi="Times New Roman" w:eastAsia="Times New Roman" w:cs="Times New Roman"/>
              </w:rPr>
            </w:pPr>
            <w:r>
              <w:rPr>
                <w:rFonts w:ascii="Times New Roman" w:hAnsi="Times New Roman" w:eastAsia="Times New Roman" w:cs="Times New Roman"/>
                <w:b/>
                <w:i w:val="0"/>
                <w:sz w:val="20"/>
              </w:rPr>
              <w:t>TT</w:t>
            </w:r>
          </w:p>
        </w:tc>
        <w:tc>
          <w:tcPr>
            <w:tcW w:type="dxa" w:w="1984"/>
          </w:tcPr>
          <w:p>
            <w:pPr>
              <w:spacing w:after="0"/>
              <w:jc w:val="center"/>
              <w:rPr>
                <w:rFonts w:ascii="Times New Roman" w:hAnsi="Times New Roman" w:eastAsia="Times New Roman" w:cs="Times New Roman"/>
              </w:rPr>
            </w:pPr>
            <w:r>
              <w:rPr>
                <w:rFonts w:ascii="Times New Roman" w:hAnsi="Times New Roman" w:eastAsia="Times New Roman" w:cs="Times New Roman"/>
                <w:b/>
                <w:i w:val="0"/>
                <w:sz w:val="20"/>
              </w:rPr>
              <w:t>Chỉ tiêu</w:t>
            </w:r>
          </w:p>
        </w:tc>
        <w:tc>
          <w:tcPr>
            <w:tcW w:type="dxa" w:w="680"/>
          </w:tcPr>
          <w:p>
            <w:pPr>
              <w:spacing w:after="0"/>
              <w:jc w:val="center"/>
              <w:rPr>
                <w:rFonts w:ascii="Times New Roman" w:hAnsi="Times New Roman" w:eastAsia="Times New Roman" w:cs="Times New Roman"/>
              </w:rPr>
            </w:pPr>
            <w:r>
              <w:rPr>
                <w:rFonts w:ascii="Times New Roman" w:hAnsi="Times New Roman" w:eastAsia="Times New Roman" w:cs="Times New Roman"/>
                <w:b/>
                <w:i w:val="0"/>
                <w:sz w:val="20"/>
              </w:rPr>
              <w:t>Đơn vị tính</w:t>
            </w:r>
          </w:p>
        </w:tc>
        <w:tc>
          <w:tcPr>
            <w:tcW w:type="dxa" w:w="907"/>
          </w:tcPr>
          <w:p>
            <w:pPr>
              <w:spacing w:after="0"/>
              <w:jc w:val="center"/>
              <w:rPr>
                <w:rFonts w:ascii="Times New Roman" w:hAnsi="Times New Roman" w:eastAsia="Times New Roman" w:cs="Times New Roman"/>
              </w:rPr>
            </w:pPr>
            <w:r>
              <w:rPr>
                <w:rFonts w:ascii="Times New Roman" w:hAnsi="Times New Roman" w:eastAsia="Times New Roman" w:cs="Times New Roman"/>
                <w:b/>
                <w:i w:val="0"/>
                <w:sz w:val="20"/>
              </w:rPr>
              <w:t>Kế hoạch năm 2026</w:t>
            </w:r>
          </w:p>
        </w:tc>
        <w:tc>
          <w:tcPr>
            <w:tcW w:type="dxa" w:w="850"/>
          </w:tcPr>
          <w:p>
            <w:pPr>
              <w:spacing w:after="0"/>
              <w:jc w:val="center"/>
              <w:rPr>
                <w:rFonts w:ascii="Times New Roman" w:hAnsi="Times New Roman" w:eastAsia="Times New Roman" w:cs="Times New Roman"/>
              </w:rPr>
            </w:pPr>
            <w:r>
              <w:rPr>
                <w:rFonts w:ascii="Times New Roman" w:hAnsi="Times New Roman" w:eastAsia="Times New Roman" w:cs="Times New Roman"/>
                <w:b/>
                <w:i w:val="0"/>
                <w:sz w:val="20"/>
              </w:rPr>
              <w:t>Thực hiện Quý I</w:t>
            </w:r>
          </w:p>
        </w:tc>
        <w:tc>
          <w:tcPr>
            <w:tcW w:type="dxa" w:w="850"/>
          </w:tcPr>
          <w:p>
            <w:pPr>
              <w:spacing w:after="0"/>
              <w:jc w:val="center"/>
              <w:rPr>
                <w:rFonts w:ascii="Times New Roman" w:hAnsi="Times New Roman" w:eastAsia="Times New Roman" w:cs="Times New Roman"/>
              </w:rPr>
            </w:pPr>
            <w:r>
              <w:rPr>
                <w:rFonts w:ascii="Times New Roman" w:hAnsi="Times New Roman" w:eastAsia="Times New Roman" w:cs="Times New Roman"/>
                <w:b/>
                <w:i w:val="0"/>
                <w:sz w:val="20"/>
              </w:rPr>
              <w:t>Thực hiện Quý II</w:t>
            </w:r>
          </w:p>
        </w:tc>
        <w:tc>
          <w:tcPr>
            <w:tcW w:type="dxa" w:w="850"/>
          </w:tcPr>
          <w:p>
            <w:pPr>
              <w:spacing w:after="0"/>
              <w:jc w:val="center"/>
              <w:rPr>
                <w:rFonts w:ascii="Times New Roman" w:hAnsi="Times New Roman" w:eastAsia="Times New Roman" w:cs="Times New Roman"/>
              </w:rPr>
            </w:pPr>
            <w:r>
              <w:rPr>
                <w:rFonts w:ascii="Times New Roman" w:hAnsi="Times New Roman" w:eastAsia="Times New Roman" w:cs="Times New Roman"/>
                <w:b/>
                <w:i w:val="0"/>
                <w:sz w:val="20"/>
              </w:rPr>
              <w:t>Thực hiện Quý III</w:t>
            </w:r>
          </w:p>
        </w:tc>
        <w:tc>
          <w:tcPr>
            <w:tcW w:type="dxa" w:w="850"/>
          </w:tcPr>
          <w:p>
            <w:pPr>
              <w:spacing w:after="0"/>
              <w:jc w:val="center"/>
              <w:rPr>
                <w:rFonts w:ascii="Times New Roman" w:hAnsi="Times New Roman" w:eastAsia="Times New Roman" w:cs="Times New Roman"/>
              </w:rPr>
            </w:pPr>
            <w:r>
              <w:rPr>
                <w:rFonts w:ascii="Times New Roman" w:hAnsi="Times New Roman" w:eastAsia="Times New Roman" w:cs="Times New Roman"/>
                <w:b/>
                <w:i w:val="0"/>
                <w:sz w:val="20"/>
              </w:rPr>
              <w:t>Dự kiến Quý IV</w:t>
            </w:r>
          </w:p>
        </w:tc>
        <w:tc>
          <w:tcPr>
            <w:tcW w:type="dxa" w:w="850"/>
          </w:tcPr>
          <w:p>
            <w:pPr>
              <w:spacing w:after="0"/>
              <w:jc w:val="center"/>
              <w:rPr>
                <w:rFonts w:ascii="Times New Roman" w:hAnsi="Times New Roman" w:eastAsia="Times New Roman" w:cs="Times New Roman"/>
              </w:rPr>
            </w:pPr>
            <w:r>
              <w:rPr>
                <w:rFonts w:ascii="Times New Roman" w:hAnsi="Times New Roman" w:eastAsia="Times New Roman" w:cs="Times New Roman"/>
                <w:b/>
                <w:i w:val="0"/>
                <w:sz w:val="20"/>
              </w:rPr>
              <w:t>Ước cả năm 2026</w:t>
            </w:r>
          </w:p>
        </w:tc>
        <w:tc>
          <w:tcPr>
            <w:tcW w:type="dxa" w:w="850"/>
          </w:tcPr>
          <w:p>
            <w:pPr>
              <w:spacing w:after="0"/>
              <w:jc w:val="center"/>
              <w:rPr>
                <w:rFonts w:ascii="Times New Roman" w:hAnsi="Times New Roman" w:eastAsia="Times New Roman" w:cs="Times New Roman"/>
              </w:rPr>
            </w:pPr>
            <w:r>
              <w:rPr>
                <w:rFonts w:ascii="Times New Roman" w:hAnsi="Times New Roman" w:eastAsia="Times New Roman" w:cs="Times New Roman"/>
                <w:b/>
                <w:i w:val="0"/>
                <w:sz w:val="20"/>
              </w:rPr>
              <w:t>So với kế hoạch (%)</w:t>
            </w:r>
          </w:p>
        </w:tc>
      </w:tr>
      <w:tr>
        <w:tc>
          <w:tcPr>
            <w:tcW w:type="dxa" w:w="397"/>
          </w:tcPr>
          <w:p>
            <w:pPr>
              <w:spacing w:after="0"/>
              <w:jc w:val="center"/>
              <w:rPr>
                <w:rFonts w:ascii="Times New Roman" w:hAnsi="Times New Roman" w:eastAsia="Times New Roman" w:cs="Times New Roman"/>
              </w:rPr>
            </w:pPr>
            <w:r>
              <w:rPr>
                <w:rFonts w:ascii="Times New Roman" w:hAnsi="Times New Roman" w:eastAsia="Times New Roman" w:cs="Times New Roman"/>
                <w:b/>
                <w:i w:val="0"/>
                <w:sz w:val="20"/>
              </w:rPr>
              <w:t>1</w:t>
            </w:r>
          </w:p>
        </w:tc>
        <w:tc>
          <w:tcPr>
            <w:tcW w:type="dxa" w:w="1984"/>
          </w:tcPr>
          <w:p>
            <w:pPr>
              <w:spacing w:after="0"/>
              <w:jc w:val="left"/>
              <w:rPr>
                <w:rFonts w:ascii="Times New Roman" w:hAnsi="Times New Roman" w:eastAsia="Times New Roman" w:cs="Times New Roman"/>
              </w:rPr>
            </w:pPr>
            <w:r>
              <w:rPr>
                <w:rFonts w:ascii="Times New Roman" w:hAnsi="Times New Roman" w:eastAsia="Times New Roman" w:cs="Times New Roman"/>
                <w:b/>
                <w:i w:val="0"/>
                <w:sz w:val="20"/>
              </w:rPr>
              <w:t>Giá trị sản xuất công nghiệp (giá so sánh 2010)</w:t>
            </w:r>
          </w:p>
        </w:tc>
        <w:tc>
          <w:tcPr>
            <w:tcW w:type="dxa" w:w="680"/>
          </w:tcPr>
          <w:p>
            <w:pPr>
              <w:spacing w:after="0"/>
              <w:jc w:val="center"/>
              <w:rPr>
                <w:rFonts w:ascii="Times New Roman" w:hAnsi="Times New Roman" w:eastAsia="Times New Roman" w:cs="Times New Roman"/>
              </w:rPr>
            </w:pPr>
            <w:r>
              <w:rPr>
                <w:rFonts w:ascii="Times New Roman" w:hAnsi="Times New Roman" w:eastAsia="Times New Roman" w:cs="Times New Roman"/>
                <w:b/>
                <w:i w:val="0"/>
                <w:sz w:val="20"/>
              </w:rPr>
              <w:t>Tỷ đồng</w:t>
            </w:r>
          </w:p>
        </w:tc>
        <w:tc>
          <w:tcPr>
            <w:tcW w:type="dxa" w:w="907"/>
          </w:tcPr>
          <w:p>
            <w:pPr>
              <w:spacing w:after="0"/>
              <w:jc w:val="center"/>
              <w:rPr>
                <w:rFonts w:ascii="Times New Roman" w:hAnsi="Times New Roman" w:eastAsia="Times New Roman" w:cs="Times New Roman"/>
              </w:rPr>
            </w:pPr>
            <w:r>
              <w:rPr>
                <w:rFonts w:ascii="Times New Roman" w:hAnsi="Times New Roman" w:eastAsia="Times New Roman" w:cs="Times New Roman"/>
                <w:b/>
                <w:i w:val="0"/>
                <w:sz w:val="20"/>
              </w:rPr>
              <w:t>79.252</w:t>
            </w:r>
          </w:p>
        </w:tc>
        <w:tc>
          <w:tcPr>
            <w:tcW w:type="dxa" w:w="850"/>
          </w:tcPr>
          <w:p>
            <w:pPr>
              <w:spacing w:after="0"/>
              <w:jc w:val="center"/>
              <w:rPr>
                <w:rFonts w:ascii="Times New Roman" w:hAnsi="Times New Roman" w:eastAsia="Times New Roman" w:cs="Times New Roman"/>
              </w:rPr>
            </w:pPr>
            <w:r>
              <w:rPr>
                <w:rFonts w:ascii="Times New Roman" w:hAnsi="Times New Roman" w:eastAsia="Times New Roman" w:cs="Times New Roman"/>
                <w:b/>
                <w:i w:val="0"/>
                <w:sz w:val="20"/>
              </w:rPr>
              <w:t>15.223,7</w:t>
            </w:r>
          </w:p>
        </w:tc>
        <w:tc>
          <w:tcPr>
            <w:tcW w:type="dxa" w:w="850"/>
          </w:tcPr>
          <w:p>
            <w:pPr>
              <w:spacing w:after="0"/>
              <w:jc w:val="center"/>
              <w:rPr>
                <w:rFonts w:ascii="Times New Roman" w:hAnsi="Times New Roman" w:eastAsia="Times New Roman" w:cs="Times New Roman"/>
              </w:rPr>
            </w:pPr>
            <w:r>
              <w:rPr>
                <w:rFonts w:ascii="Times New Roman" w:hAnsi="Times New Roman" w:eastAsia="Times New Roman" w:cs="Times New Roman"/>
                <w:b/>
                <w:i w:val="0"/>
                <w:sz w:val="20"/>
              </w:rPr>
              <w:t>19.188,7</w:t>
            </w:r>
          </w:p>
        </w:tc>
        <w:tc>
          <w:tcPr>
            <w:tcW w:type="dxa" w:w="850"/>
          </w:tcPr>
          <w:p>
            <w:pPr>
              <w:spacing w:after="0"/>
              <w:jc w:val="center"/>
              <w:rPr>
                <w:rFonts w:ascii="Times New Roman" w:hAnsi="Times New Roman" w:eastAsia="Times New Roman" w:cs="Times New Roman"/>
              </w:rPr>
            </w:pPr>
            <w:r>
              <w:rPr>
                <w:rFonts w:ascii="Times New Roman" w:hAnsi="Times New Roman" w:eastAsia="Times New Roman" w:cs="Times New Roman"/>
                <w:b/>
                <w:i w:val="0"/>
                <w:sz w:val="20"/>
              </w:rPr>
              <w:t>22.265</w:t>
            </w:r>
          </w:p>
        </w:tc>
        <w:tc>
          <w:tcPr>
            <w:tcW w:type="dxa" w:w="850"/>
          </w:tcPr>
          <w:p>
            <w:pPr>
              <w:spacing w:after="0"/>
              <w:jc w:val="center"/>
              <w:rPr>
                <w:rFonts w:ascii="Times New Roman" w:hAnsi="Times New Roman" w:eastAsia="Times New Roman" w:cs="Times New Roman"/>
              </w:rPr>
            </w:pPr>
            <w:r>
              <w:rPr>
                <w:rFonts w:ascii="Times New Roman" w:hAnsi="Times New Roman" w:eastAsia="Times New Roman" w:cs="Times New Roman"/>
                <w:b/>
                <w:i w:val="0"/>
                <w:sz w:val="20"/>
              </w:rPr>
              <w:t>22.575</w:t>
            </w:r>
          </w:p>
        </w:tc>
        <w:tc>
          <w:tcPr>
            <w:tcW w:type="dxa" w:w="850"/>
          </w:tcPr>
          <w:p>
            <w:pPr>
              <w:spacing w:after="0"/>
              <w:jc w:val="center"/>
              <w:rPr>
                <w:rFonts w:ascii="Times New Roman" w:hAnsi="Times New Roman" w:eastAsia="Times New Roman" w:cs="Times New Roman"/>
              </w:rPr>
            </w:pPr>
            <w:r>
              <w:rPr>
                <w:rFonts w:ascii="Times New Roman" w:hAnsi="Times New Roman" w:eastAsia="Times New Roman" w:cs="Times New Roman"/>
                <w:b/>
                <w:i w:val="0"/>
                <w:sz w:val="20"/>
              </w:rPr>
              <w:t>79.252</w:t>
            </w:r>
          </w:p>
        </w:tc>
        <w:tc>
          <w:tcPr>
            <w:tcW w:type="dxa" w:w="850"/>
          </w:tcPr>
          <w:p>
            <w:pPr>
              <w:spacing w:after="0"/>
              <w:jc w:val="center"/>
              <w:rPr>
                <w:rFonts w:ascii="Times New Roman" w:hAnsi="Times New Roman" w:eastAsia="Times New Roman" w:cs="Times New Roman"/>
              </w:rPr>
            </w:pPr>
            <w:r>
              <w:rPr>
                <w:rFonts w:ascii="Times New Roman" w:hAnsi="Times New Roman" w:eastAsia="Times New Roman" w:cs="Times New Roman"/>
                <w:b/>
                <w:i w:val="0"/>
                <w:sz w:val="20"/>
              </w:rPr>
              <w:t>100</w:t>
            </w:r>
          </w:p>
        </w:tc>
      </w:tr>
      <w:tr>
        <w:tc>
          <w:tcPr>
            <w:tcW w:type="dxa" w:w="397"/>
          </w:tcPr>
          <w:p>
            <w:pPr>
              <w:spacing w:after="0"/>
              <w:jc w:val="center"/>
              <w:rPr>
                <w:rFonts w:ascii="Times New Roman" w:hAnsi="Times New Roman" w:eastAsia="Times New Roman" w:cs="Times New Roman"/>
              </w:rPr>
            </w:pPr>
            <w:r>
              <w:rPr>
                <w:rFonts w:ascii="Times New Roman" w:hAnsi="Times New Roman" w:eastAsia="Times New Roman" w:cs="Times New Roman"/>
                <w:b w:val="0"/>
                <w:i w:val="0"/>
                <w:sz w:val="20"/>
              </w:rPr>
            </w:r>
          </w:p>
        </w:tc>
        <w:tc>
          <w:tcPr>
            <w:tcW w:type="dxa" w:w="1984"/>
          </w:tcPr>
          <w:p>
            <w:pPr>
              <w:spacing w:after="0"/>
              <w:jc w:val="left"/>
              <w:rPr>
                <w:rFonts w:ascii="Times New Roman" w:hAnsi="Times New Roman" w:eastAsia="Times New Roman" w:cs="Times New Roman"/>
              </w:rPr>
            </w:pPr>
            <w:r>
              <w:rPr>
                <w:rFonts w:ascii="Times New Roman" w:hAnsi="Times New Roman" w:eastAsia="Times New Roman" w:cs="Times New Roman"/>
                <w:b w:val="0"/>
                <w:i w:val="0"/>
                <w:sz w:val="20"/>
              </w:rPr>
              <w:t>- Công nghiệp khai thác</w:t>
            </w:r>
          </w:p>
        </w:tc>
        <w:tc>
          <w:tcPr>
            <w:tcW w:type="dxa" w:w="680"/>
          </w:tcPr>
          <w:p>
            <w:pPr>
              <w:spacing w:after="0"/>
              <w:jc w:val="center"/>
              <w:rPr>
                <w:rFonts w:ascii="Times New Roman" w:hAnsi="Times New Roman" w:eastAsia="Times New Roman" w:cs="Times New Roman"/>
              </w:rPr>
            </w:pPr>
            <w:r>
              <w:rPr>
                <w:rFonts w:ascii="Times New Roman" w:hAnsi="Times New Roman" w:eastAsia="Times New Roman" w:cs="Times New Roman"/>
                <w:b w:val="0"/>
                <w:i w:val="0"/>
                <w:sz w:val="20"/>
              </w:rPr>
              <w:t>Tỷ đồng</w:t>
            </w:r>
          </w:p>
        </w:tc>
        <w:tc>
          <w:tcPr>
            <w:tcW w:type="dxa" w:w="907"/>
          </w:tcPr>
          <w:p>
            <w:pPr>
              <w:spacing w:after="0"/>
              <w:jc w:val="center"/>
              <w:rPr>
                <w:rFonts w:ascii="Times New Roman" w:hAnsi="Times New Roman" w:eastAsia="Times New Roman" w:cs="Times New Roman"/>
              </w:rPr>
            </w:pPr>
            <w:r>
              <w:rPr>
                <w:rFonts w:ascii="Times New Roman" w:hAnsi="Times New Roman" w:eastAsia="Times New Roman" w:cs="Times New Roman"/>
                <w:b w:val="0"/>
                <w:i w:val="0"/>
                <w:sz w:val="20"/>
              </w:rPr>
              <w:t>2.873</w:t>
            </w:r>
          </w:p>
        </w:tc>
        <w:tc>
          <w:tcPr>
            <w:tcW w:type="dxa" w:w="850"/>
          </w:tcPr>
          <w:p>
            <w:pPr>
              <w:spacing w:after="0"/>
              <w:jc w:val="center"/>
              <w:rPr>
                <w:rFonts w:ascii="Times New Roman" w:hAnsi="Times New Roman" w:eastAsia="Times New Roman" w:cs="Times New Roman"/>
              </w:rPr>
            </w:pPr>
            <w:r>
              <w:rPr>
                <w:rFonts w:ascii="Times New Roman" w:hAnsi="Times New Roman" w:eastAsia="Times New Roman" w:cs="Times New Roman"/>
                <w:b w:val="0"/>
                <w:i w:val="0"/>
                <w:sz w:val="20"/>
              </w:rPr>
              <w:t>881,5</w:t>
            </w:r>
          </w:p>
        </w:tc>
        <w:tc>
          <w:tcPr>
            <w:tcW w:type="dxa" w:w="850"/>
          </w:tcPr>
          <w:p>
            <w:pPr>
              <w:spacing w:after="0"/>
              <w:jc w:val="center"/>
              <w:rPr>
                <w:rFonts w:ascii="Times New Roman" w:hAnsi="Times New Roman" w:eastAsia="Times New Roman" w:cs="Times New Roman"/>
              </w:rPr>
            </w:pPr>
            <w:r>
              <w:rPr>
                <w:rFonts w:ascii="Times New Roman" w:hAnsi="Times New Roman" w:eastAsia="Times New Roman" w:cs="Times New Roman"/>
                <w:b w:val="0"/>
                <w:i w:val="0"/>
                <w:sz w:val="20"/>
              </w:rPr>
              <w:t>723</w:t>
            </w:r>
          </w:p>
        </w:tc>
        <w:tc>
          <w:tcPr>
            <w:tcW w:type="dxa" w:w="850"/>
          </w:tcPr>
          <w:p>
            <w:pPr>
              <w:spacing w:after="0"/>
              <w:jc w:val="center"/>
              <w:rPr>
                <w:rFonts w:ascii="Times New Roman" w:hAnsi="Times New Roman" w:eastAsia="Times New Roman" w:cs="Times New Roman"/>
              </w:rPr>
            </w:pPr>
            <w:r>
              <w:rPr>
                <w:rFonts w:ascii="Times New Roman" w:hAnsi="Times New Roman" w:eastAsia="Times New Roman" w:cs="Times New Roman"/>
                <w:b w:val="0"/>
                <w:i w:val="0"/>
                <w:sz w:val="20"/>
              </w:rPr>
              <w:t>715</w:t>
            </w:r>
          </w:p>
        </w:tc>
        <w:tc>
          <w:tcPr>
            <w:tcW w:type="dxa" w:w="850"/>
          </w:tcPr>
          <w:p>
            <w:pPr>
              <w:spacing w:after="0"/>
              <w:jc w:val="center"/>
              <w:rPr>
                <w:rFonts w:ascii="Times New Roman" w:hAnsi="Times New Roman" w:eastAsia="Times New Roman" w:cs="Times New Roman"/>
              </w:rPr>
            </w:pPr>
            <w:r>
              <w:rPr>
                <w:rFonts w:ascii="Times New Roman" w:hAnsi="Times New Roman" w:eastAsia="Times New Roman" w:cs="Times New Roman"/>
                <w:b w:val="0"/>
                <w:i w:val="0"/>
                <w:sz w:val="20"/>
              </w:rPr>
              <w:t>709,5</w:t>
            </w:r>
          </w:p>
        </w:tc>
        <w:tc>
          <w:tcPr>
            <w:tcW w:type="dxa" w:w="850"/>
          </w:tcPr>
          <w:p>
            <w:pPr>
              <w:spacing w:after="0"/>
              <w:jc w:val="center"/>
              <w:rPr>
                <w:rFonts w:ascii="Times New Roman" w:hAnsi="Times New Roman" w:eastAsia="Times New Roman" w:cs="Times New Roman"/>
              </w:rPr>
            </w:pPr>
            <w:r>
              <w:rPr>
                <w:rFonts w:ascii="Times New Roman" w:hAnsi="Times New Roman" w:eastAsia="Times New Roman" w:cs="Times New Roman"/>
                <w:b w:val="0"/>
                <w:i w:val="0"/>
                <w:sz w:val="20"/>
              </w:rPr>
              <w:t>2.873</w:t>
            </w:r>
          </w:p>
        </w:tc>
        <w:tc>
          <w:tcPr>
            <w:tcW w:type="dxa" w:w="850"/>
          </w:tcPr>
          <w:p>
            <w:pPr>
              <w:spacing w:after="0"/>
              <w:jc w:val="center"/>
              <w:rPr>
                <w:rFonts w:ascii="Times New Roman" w:hAnsi="Times New Roman" w:eastAsia="Times New Roman" w:cs="Times New Roman"/>
              </w:rPr>
            </w:pPr>
            <w:r>
              <w:rPr>
                <w:rFonts w:ascii="Times New Roman" w:hAnsi="Times New Roman" w:eastAsia="Times New Roman" w:cs="Times New Roman"/>
                <w:b w:val="0"/>
                <w:i w:val="0"/>
                <w:sz w:val="20"/>
              </w:rPr>
              <w:t>100</w:t>
            </w:r>
          </w:p>
        </w:tc>
      </w:tr>
      <w:tr>
        <w:tc>
          <w:tcPr>
            <w:tcW w:type="dxa" w:w="397"/>
          </w:tcPr>
          <w:p>
            <w:pPr>
              <w:spacing w:after="0"/>
              <w:jc w:val="center"/>
              <w:rPr>
                <w:rFonts w:ascii="Times New Roman" w:hAnsi="Times New Roman" w:eastAsia="Times New Roman" w:cs="Times New Roman"/>
              </w:rPr>
            </w:pPr>
            <w:r>
              <w:rPr>
                <w:rFonts w:ascii="Times New Roman" w:hAnsi="Times New Roman" w:eastAsia="Times New Roman" w:cs="Times New Roman"/>
                <w:b w:val="0"/>
                <w:i w:val="0"/>
                <w:sz w:val="20"/>
              </w:rPr>
            </w:r>
          </w:p>
        </w:tc>
        <w:tc>
          <w:tcPr>
            <w:tcW w:type="dxa" w:w="1984"/>
          </w:tcPr>
          <w:p>
            <w:pPr>
              <w:spacing w:after="0"/>
              <w:jc w:val="left"/>
              <w:rPr>
                <w:rFonts w:ascii="Times New Roman" w:hAnsi="Times New Roman" w:eastAsia="Times New Roman" w:cs="Times New Roman"/>
              </w:rPr>
            </w:pPr>
            <w:r>
              <w:rPr>
                <w:rFonts w:ascii="Times New Roman" w:hAnsi="Times New Roman" w:eastAsia="Times New Roman" w:cs="Times New Roman"/>
                <w:b w:val="0"/>
                <w:i w:val="0"/>
                <w:sz w:val="20"/>
              </w:rPr>
              <w:t>- Công nghiệp chế biến, chế tạo</w:t>
            </w:r>
          </w:p>
        </w:tc>
        <w:tc>
          <w:tcPr>
            <w:tcW w:type="dxa" w:w="680"/>
          </w:tcPr>
          <w:p>
            <w:pPr>
              <w:spacing w:after="0"/>
              <w:jc w:val="center"/>
              <w:rPr>
                <w:rFonts w:ascii="Times New Roman" w:hAnsi="Times New Roman" w:eastAsia="Times New Roman" w:cs="Times New Roman"/>
              </w:rPr>
            </w:pPr>
            <w:r>
              <w:rPr>
                <w:rFonts w:ascii="Times New Roman" w:hAnsi="Times New Roman" w:eastAsia="Times New Roman" w:cs="Times New Roman"/>
                <w:b w:val="0"/>
                <w:i w:val="0"/>
                <w:sz w:val="20"/>
              </w:rPr>
              <w:t>Tỷ đồng</w:t>
            </w:r>
          </w:p>
        </w:tc>
        <w:tc>
          <w:tcPr>
            <w:tcW w:type="dxa" w:w="907"/>
          </w:tcPr>
          <w:p>
            <w:pPr>
              <w:spacing w:after="0"/>
              <w:jc w:val="center"/>
              <w:rPr>
                <w:rFonts w:ascii="Times New Roman" w:hAnsi="Times New Roman" w:eastAsia="Times New Roman" w:cs="Times New Roman"/>
              </w:rPr>
            </w:pPr>
            <w:r>
              <w:rPr>
                <w:rFonts w:ascii="Times New Roman" w:hAnsi="Times New Roman" w:eastAsia="Times New Roman" w:cs="Times New Roman"/>
                <w:b w:val="0"/>
                <w:i w:val="0"/>
                <w:sz w:val="20"/>
              </w:rPr>
              <w:t>61.369</w:t>
            </w:r>
          </w:p>
        </w:tc>
        <w:tc>
          <w:tcPr>
            <w:tcW w:type="dxa" w:w="850"/>
          </w:tcPr>
          <w:p>
            <w:pPr>
              <w:spacing w:after="0"/>
              <w:jc w:val="center"/>
              <w:rPr>
                <w:rFonts w:ascii="Times New Roman" w:hAnsi="Times New Roman" w:eastAsia="Times New Roman" w:cs="Times New Roman"/>
              </w:rPr>
            </w:pPr>
            <w:r>
              <w:rPr>
                <w:rFonts w:ascii="Times New Roman" w:hAnsi="Times New Roman" w:eastAsia="Times New Roman" w:cs="Times New Roman"/>
                <w:b w:val="0"/>
                <w:i w:val="0"/>
                <w:sz w:val="20"/>
              </w:rPr>
              <w:t>12.277,5</w:t>
            </w:r>
          </w:p>
        </w:tc>
        <w:tc>
          <w:tcPr>
            <w:tcW w:type="dxa" w:w="850"/>
          </w:tcPr>
          <w:p>
            <w:pPr>
              <w:spacing w:after="0"/>
              <w:jc w:val="center"/>
              <w:rPr>
                <w:rFonts w:ascii="Times New Roman" w:hAnsi="Times New Roman" w:eastAsia="Times New Roman" w:cs="Times New Roman"/>
              </w:rPr>
            </w:pPr>
            <w:r>
              <w:rPr>
                <w:rFonts w:ascii="Times New Roman" w:hAnsi="Times New Roman" w:eastAsia="Times New Roman" w:cs="Times New Roman"/>
                <w:b w:val="0"/>
                <w:i w:val="0"/>
                <w:sz w:val="20"/>
              </w:rPr>
              <w:t>15.157,1</w:t>
            </w:r>
          </w:p>
        </w:tc>
        <w:tc>
          <w:tcPr>
            <w:tcW w:type="dxa" w:w="850"/>
          </w:tcPr>
          <w:p>
            <w:pPr>
              <w:spacing w:after="0"/>
              <w:jc w:val="center"/>
              <w:rPr>
                <w:rFonts w:ascii="Times New Roman" w:hAnsi="Times New Roman" w:eastAsia="Times New Roman" w:cs="Times New Roman"/>
              </w:rPr>
            </w:pPr>
            <w:r>
              <w:rPr>
                <w:rFonts w:ascii="Times New Roman" w:hAnsi="Times New Roman" w:eastAsia="Times New Roman" w:cs="Times New Roman"/>
                <w:b w:val="0"/>
                <w:i w:val="0"/>
                <w:sz w:val="20"/>
              </w:rPr>
              <w:t>16.225,6</w:t>
            </w:r>
          </w:p>
        </w:tc>
        <w:tc>
          <w:tcPr>
            <w:tcW w:type="dxa" w:w="850"/>
          </w:tcPr>
          <w:p>
            <w:pPr>
              <w:spacing w:after="0"/>
              <w:jc w:val="center"/>
              <w:rPr>
                <w:rFonts w:ascii="Times New Roman" w:hAnsi="Times New Roman" w:eastAsia="Times New Roman" w:cs="Times New Roman"/>
              </w:rPr>
            </w:pPr>
            <w:r>
              <w:rPr>
                <w:rFonts w:ascii="Times New Roman" w:hAnsi="Times New Roman" w:eastAsia="Times New Roman" w:cs="Times New Roman"/>
                <w:b w:val="0"/>
                <w:i w:val="0"/>
                <w:sz w:val="20"/>
              </w:rPr>
              <w:t>17.418</w:t>
            </w:r>
          </w:p>
        </w:tc>
        <w:tc>
          <w:tcPr>
            <w:tcW w:type="dxa" w:w="850"/>
          </w:tcPr>
          <w:p>
            <w:pPr>
              <w:spacing w:after="0"/>
              <w:jc w:val="center"/>
              <w:rPr>
                <w:rFonts w:ascii="Times New Roman" w:hAnsi="Times New Roman" w:eastAsia="Times New Roman" w:cs="Times New Roman"/>
              </w:rPr>
            </w:pPr>
            <w:r>
              <w:rPr>
                <w:rFonts w:ascii="Times New Roman" w:hAnsi="Times New Roman" w:eastAsia="Times New Roman" w:cs="Times New Roman"/>
                <w:b w:val="0"/>
                <w:i w:val="0"/>
                <w:sz w:val="20"/>
              </w:rPr>
              <w:t>61.369</w:t>
            </w:r>
          </w:p>
        </w:tc>
        <w:tc>
          <w:tcPr>
            <w:tcW w:type="dxa" w:w="850"/>
          </w:tcPr>
          <w:p>
            <w:pPr>
              <w:spacing w:after="0"/>
              <w:jc w:val="center"/>
              <w:rPr>
                <w:rFonts w:ascii="Times New Roman" w:hAnsi="Times New Roman" w:eastAsia="Times New Roman" w:cs="Times New Roman"/>
              </w:rPr>
            </w:pPr>
            <w:r>
              <w:rPr>
                <w:rFonts w:ascii="Times New Roman" w:hAnsi="Times New Roman" w:eastAsia="Times New Roman" w:cs="Times New Roman"/>
                <w:b w:val="0"/>
                <w:i w:val="0"/>
                <w:sz w:val="20"/>
              </w:rPr>
              <w:t>100</w:t>
            </w:r>
          </w:p>
        </w:tc>
      </w:tr>
      <w:tr>
        <w:tc>
          <w:tcPr>
            <w:tcW w:type="dxa" w:w="397"/>
          </w:tcPr>
          <w:p>
            <w:pPr>
              <w:spacing w:after="0"/>
              <w:jc w:val="center"/>
              <w:rPr>
                <w:rFonts w:ascii="Times New Roman" w:hAnsi="Times New Roman" w:eastAsia="Times New Roman" w:cs="Times New Roman"/>
              </w:rPr>
            </w:pPr>
            <w:r>
              <w:rPr>
                <w:rFonts w:ascii="Times New Roman" w:hAnsi="Times New Roman" w:eastAsia="Times New Roman" w:cs="Times New Roman"/>
                <w:b w:val="0"/>
                <w:i w:val="0"/>
                <w:sz w:val="20"/>
              </w:rPr>
            </w:r>
          </w:p>
        </w:tc>
        <w:tc>
          <w:tcPr>
            <w:tcW w:type="dxa" w:w="1984"/>
          </w:tcPr>
          <w:p>
            <w:pPr>
              <w:spacing w:after="0"/>
              <w:jc w:val="left"/>
              <w:rPr>
                <w:rFonts w:ascii="Times New Roman" w:hAnsi="Times New Roman" w:eastAsia="Times New Roman" w:cs="Times New Roman"/>
              </w:rPr>
            </w:pPr>
            <w:r>
              <w:rPr>
                <w:rFonts w:ascii="Times New Roman" w:hAnsi="Times New Roman" w:eastAsia="Times New Roman" w:cs="Times New Roman"/>
                <w:b w:val="0"/>
                <w:i w:val="0"/>
                <w:sz w:val="20"/>
              </w:rPr>
              <w:t>- Sản xuất, phân phối điện, nước</w:t>
            </w:r>
          </w:p>
        </w:tc>
        <w:tc>
          <w:tcPr>
            <w:tcW w:type="dxa" w:w="680"/>
          </w:tcPr>
          <w:p>
            <w:pPr>
              <w:spacing w:after="0"/>
              <w:jc w:val="center"/>
              <w:rPr>
                <w:rFonts w:ascii="Times New Roman" w:hAnsi="Times New Roman" w:eastAsia="Times New Roman" w:cs="Times New Roman"/>
              </w:rPr>
            </w:pPr>
            <w:r>
              <w:rPr>
                <w:rFonts w:ascii="Times New Roman" w:hAnsi="Times New Roman" w:eastAsia="Times New Roman" w:cs="Times New Roman"/>
                <w:b w:val="0"/>
                <w:i w:val="0"/>
                <w:sz w:val="20"/>
              </w:rPr>
              <w:t>Tỷ đồng</w:t>
            </w:r>
          </w:p>
        </w:tc>
        <w:tc>
          <w:tcPr>
            <w:tcW w:type="dxa" w:w="907"/>
          </w:tcPr>
          <w:p>
            <w:pPr>
              <w:spacing w:after="0"/>
              <w:jc w:val="center"/>
              <w:rPr>
                <w:rFonts w:ascii="Times New Roman" w:hAnsi="Times New Roman" w:eastAsia="Times New Roman" w:cs="Times New Roman"/>
              </w:rPr>
            </w:pPr>
            <w:r>
              <w:rPr>
                <w:rFonts w:ascii="Times New Roman" w:hAnsi="Times New Roman" w:eastAsia="Times New Roman" w:cs="Times New Roman"/>
                <w:b w:val="0"/>
                <w:i w:val="0"/>
                <w:sz w:val="20"/>
              </w:rPr>
              <w:t>15.010</w:t>
            </w:r>
          </w:p>
        </w:tc>
        <w:tc>
          <w:tcPr>
            <w:tcW w:type="dxa" w:w="850"/>
          </w:tcPr>
          <w:p>
            <w:pPr>
              <w:spacing w:after="0"/>
              <w:jc w:val="center"/>
              <w:rPr>
                <w:rFonts w:ascii="Times New Roman" w:hAnsi="Times New Roman" w:eastAsia="Times New Roman" w:cs="Times New Roman"/>
              </w:rPr>
            </w:pPr>
            <w:r>
              <w:rPr>
                <w:rFonts w:ascii="Times New Roman" w:hAnsi="Times New Roman" w:eastAsia="Times New Roman" w:cs="Times New Roman"/>
                <w:b w:val="0"/>
                <w:i w:val="0"/>
                <w:sz w:val="20"/>
              </w:rPr>
              <w:t>2.065</w:t>
            </w:r>
          </w:p>
        </w:tc>
        <w:tc>
          <w:tcPr>
            <w:tcW w:type="dxa" w:w="850"/>
          </w:tcPr>
          <w:p>
            <w:pPr>
              <w:spacing w:after="0"/>
              <w:jc w:val="center"/>
              <w:rPr>
                <w:rFonts w:ascii="Times New Roman" w:hAnsi="Times New Roman" w:eastAsia="Times New Roman" w:cs="Times New Roman"/>
              </w:rPr>
            </w:pPr>
            <w:r>
              <w:rPr>
                <w:rFonts w:ascii="Times New Roman" w:hAnsi="Times New Roman" w:eastAsia="Times New Roman" w:cs="Times New Roman"/>
                <w:b w:val="0"/>
                <w:i w:val="0"/>
                <w:sz w:val="20"/>
              </w:rPr>
              <w:t>3.308,5</w:t>
            </w:r>
          </w:p>
        </w:tc>
        <w:tc>
          <w:tcPr>
            <w:tcW w:type="dxa" w:w="850"/>
          </w:tcPr>
          <w:p>
            <w:pPr>
              <w:spacing w:after="0"/>
              <w:jc w:val="center"/>
              <w:rPr>
                <w:rFonts w:ascii="Times New Roman" w:hAnsi="Times New Roman" w:eastAsia="Times New Roman" w:cs="Times New Roman"/>
              </w:rPr>
            </w:pPr>
            <w:r>
              <w:rPr>
                <w:rFonts w:ascii="Times New Roman" w:hAnsi="Times New Roman" w:eastAsia="Times New Roman" w:cs="Times New Roman"/>
                <w:b w:val="0"/>
                <w:i w:val="0"/>
                <w:sz w:val="20"/>
              </w:rPr>
              <w:t>5.324,4</w:t>
            </w:r>
          </w:p>
        </w:tc>
        <w:tc>
          <w:tcPr>
            <w:tcW w:type="dxa" w:w="850"/>
          </w:tcPr>
          <w:p>
            <w:pPr>
              <w:spacing w:after="0"/>
              <w:jc w:val="center"/>
              <w:rPr>
                <w:rFonts w:ascii="Times New Roman" w:hAnsi="Times New Roman" w:eastAsia="Times New Roman" w:cs="Times New Roman"/>
              </w:rPr>
            </w:pPr>
            <w:r>
              <w:rPr>
                <w:rFonts w:ascii="Times New Roman" w:hAnsi="Times New Roman" w:eastAsia="Times New Roman" w:cs="Times New Roman"/>
                <w:b w:val="0"/>
                <w:i w:val="0"/>
                <w:sz w:val="20"/>
              </w:rPr>
              <w:t>4.447,5</w:t>
            </w:r>
          </w:p>
        </w:tc>
        <w:tc>
          <w:tcPr>
            <w:tcW w:type="dxa" w:w="850"/>
          </w:tcPr>
          <w:p>
            <w:pPr>
              <w:spacing w:after="0"/>
              <w:jc w:val="center"/>
              <w:rPr>
                <w:rFonts w:ascii="Times New Roman" w:hAnsi="Times New Roman" w:eastAsia="Times New Roman" w:cs="Times New Roman"/>
              </w:rPr>
            </w:pPr>
            <w:r>
              <w:rPr>
                <w:rFonts w:ascii="Times New Roman" w:hAnsi="Times New Roman" w:eastAsia="Times New Roman" w:cs="Times New Roman"/>
                <w:b w:val="0"/>
                <w:i w:val="0"/>
                <w:sz w:val="20"/>
              </w:rPr>
              <w:t>15.010</w:t>
            </w:r>
          </w:p>
        </w:tc>
        <w:tc>
          <w:tcPr>
            <w:tcW w:type="dxa" w:w="850"/>
          </w:tcPr>
          <w:p>
            <w:pPr>
              <w:spacing w:after="0"/>
              <w:jc w:val="center"/>
              <w:rPr>
                <w:rFonts w:ascii="Times New Roman" w:hAnsi="Times New Roman" w:eastAsia="Times New Roman" w:cs="Times New Roman"/>
              </w:rPr>
            </w:pPr>
            <w:r>
              <w:rPr>
                <w:rFonts w:ascii="Times New Roman" w:hAnsi="Times New Roman" w:eastAsia="Times New Roman" w:cs="Times New Roman"/>
                <w:b w:val="0"/>
                <w:i w:val="0"/>
                <w:sz w:val="20"/>
              </w:rPr>
              <w:t>100</w:t>
            </w:r>
          </w:p>
        </w:tc>
      </w:tr>
      <w:tr>
        <w:tc>
          <w:tcPr>
            <w:tcW w:type="dxa" w:w="397"/>
          </w:tcPr>
          <w:p>
            <w:pPr>
              <w:spacing w:after="0"/>
              <w:jc w:val="center"/>
              <w:rPr>
                <w:rFonts w:ascii="Times New Roman" w:hAnsi="Times New Roman" w:eastAsia="Times New Roman" w:cs="Times New Roman"/>
              </w:rPr>
            </w:pPr>
            <w:r>
              <w:rPr>
                <w:rFonts w:ascii="Times New Roman" w:hAnsi="Times New Roman" w:eastAsia="Times New Roman" w:cs="Times New Roman"/>
                <w:b/>
                <w:i w:val="0"/>
                <w:sz w:val="20"/>
              </w:rPr>
              <w:t>2</w:t>
            </w:r>
          </w:p>
        </w:tc>
        <w:tc>
          <w:tcPr>
            <w:tcW w:type="dxa" w:w="1984"/>
          </w:tcPr>
          <w:p>
            <w:pPr>
              <w:spacing w:after="0"/>
              <w:jc w:val="left"/>
              <w:rPr>
                <w:rFonts w:ascii="Times New Roman" w:hAnsi="Times New Roman" w:eastAsia="Times New Roman" w:cs="Times New Roman"/>
              </w:rPr>
            </w:pPr>
            <w:r>
              <w:rPr>
                <w:rFonts w:ascii="Times New Roman" w:hAnsi="Times New Roman" w:eastAsia="Times New Roman" w:cs="Times New Roman"/>
                <w:b/>
                <w:i w:val="0"/>
                <w:sz w:val="20"/>
              </w:rPr>
              <w:t>Tổng mức bán lẻ hàng hóa và doanh thu dịch vụ tiêu dùng</w:t>
            </w:r>
          </w:p>
        </w:tc>
        <w:tc>
          <w:tcPr>
            <w:tcW w:type="dxa" w:w="680"/>
          </w:tcPr>
          <w:p>
            <w:pPr>
              <w:spacing w:after="0"/>
              <w:jc w:val="center"/>
              <w:rPr>
                <w:rFonts w:ascii="Times New Roman" w:hAnsi="Times New Roman" w:eastAsia="Times New Roman" w:cs="Times New Roman"/>
              </w:rPr>
            </w:pPr>
            <w:r>
              <w:rPr>
                <w:rFonts w:ascii="Times New Roman" w:hAnsi="Times New Roman" w:eastAsia="Times New Roman" w:cs="Times New Roman"/>
                <w:b/>
                <w:i w:val="0"/>
                <w:sz w:val="20"/>
              </w:rPr>
              <w:t>Tỷ đồng</w:t>
            </w:r>
          </w:p>
        </w:tc>
        <w:tc>
          <w:tcPr>
            <w:tcW w:type="dxa" w:w="907"/>
          </w:tcPr>
          <w:p>
            <w:pPr>
              <w:spacing w:after="0"/>
              <w:jc w:val="center"/>
              <w:rPr>
                <w:rFonts w:ascii="Times New Roman" w:hAnsi="Times New Roman" w:eastAsia="Times New Roman" w:cs="Times New Roman"/>
              </w:rPr>
            </w:pPr>
            <w:r>
              <w:rPr>
                <w:rFonts w:ascii="Times New Roman" w:hAnsi="Times New Roman" w:eastAsia="Times New Roman" w:cs="Times New Roman"/>
                <w:b/>
                <w:i w:val="0"/>
                <w:sz w:val="20"/>
              </w:rPr>
              <w:t>96.000</w:t>
            </w:r>
          </w:p>
        </w:tc>
        <w:tc>
          <w:tcPr>
            <w:tcW w:type="dxa" w:w="850"/>
          </w:tcPr>
          <w:p>
            <w:pPr>
              <w:spacing w:after="0"/>
              <w:jc w:val="center"/>
              <w:rPr>
                <w:rFonts w:ascii="Times New Roman" w:hAnsi="Times New Roman" w:eastAsia="Times New Roman" w:cs="Times New Roman"/>
              </w:rPr>
            </w:pPr>
            <w:r>
              <w:rPr>
                <w:rFonts w:ascii="Times New Roman" w:hAnsi="Times New Roman" w:eastAsia="Times New Roman" w:cs="Times New Roman"/>
                <w:b/>
                <w:i w:val="0"/>
                <w:sz w:val="20"/>
              </w:rPr>
              <w:t>22.000</w:t>
            </w:r>
          </w:p>
        </w:tc>
        <w:tc>
          <w:tcPr>
            <w:tcW w:type="dxa" w:w="850"/>
          </w:tcPr>
          <w:p>
            <w:pPr>
              <w:spacing w:after="0"/>
              <w:jc w:val="center"/>
              <w:rPr>
                <w:rFonts w:ascii="Times New Roman" w:hAnsi="Times New Roman" w:eastAsia="Times New Roman" w:cs="Times New Roman"/>
              </w:rPr>
            </w:pPr>
            <w:r>
              <w:rPr>
                <w:rFonts w:ascii="Times New Roman" w:hAnsi="Times New Roman" w:eastAsia="Times New Roman" w:cs="Times New Roman"/>
                <w:b/>
                <w:i w:val="0"/>
                <w:sz w:val="20"/>
              </w:rPr>
              <w:t>23.120</w:t>
            </w:r>
          </w:p>
        </w:tc>
        <w:tc>
          <w:tcPr>
            <w:tcW w:type="dxa" w:w="850"/>
          </w:tcPr>
          <w:p>
            <w:pPr>
              <w:spacing w:after="0"/>
              <w:jc w:val="center"/>
              <w:rPr>
                <w:rFonts w:ascii="Times New Roman" w:hAnsi="Times New Roman" w:eastAsia="Times New Roman" w:cs="Times New Roman"/>
              </w:rPr>
            </w:pPr>
            <w:r>
              <w:rPr>
                <w:rFonts w:ascii="Times New Roman" w:hAnsi="Times New Roman" w:eastAsia="Times New Roman" w:cs="Times New Roman"/>
                <w:b/>
                <w:i w:val="0"/>
                <w:sz w:val="20"/>
              </w:rPr>
              <w:t>24.690</w:t>
            </w:r>
          </w:p>
        </w:tc>
        <w:tc>
          <w:tcPr>
            <w:tcW w:type="dxa" w:w="850"/>
          </w:tcPr>
          <w:p>
            <w:pPr>
              <w:spacing w:after="0"/>
              <w:jc w:val="center"/>
              <w:rPr>
                <w:rFonts w:ascii="Times New Roman" w:hAnsi="Times New Roman" w:eastAsia="Times New Roman" w:cs="Times New Roman"/>
              </w:rPr>
            </w:pPr>
            <w:r>
              <w:rPr>
                <w:rFonts w:ascii="Times New Roman" w:hAnsi="Times New Roman" w:eastAsia="Times New Roman" w:cs="Times New Roman"/>
                <w:b/>
                <w:i w:val="0"/>
                <w:sz w:val="20"/>
              </w:rPr>
              <w:t>26.220</w:t>
            </w:r>
          </w:p>
        </w:tc>
        <w:tc>
          <w:tcPr>
            <w:tcW w:type="dxa" w:w="850"/>
          </w:tcPr>
          <w:p>
            <w:pPr>
              <w:spacing w:after="0"/>
              <w:jc w:val="center"/>
              <w:rPr>
                <w:rFonts w:ascii="Times New Roman" w:hAnsi="Times New Roman" w:eastAsia="Times New Roman" w:cs="Times New Roman"/>
              </w:rPr>
            </w:pPr>
            <w:r>
              <w:rPr>
                <w:rFonts w:ascii="Times New Roman" w:hAnsi="Times New Roman" w:eastAsia="Times New Roman" w:cs="Times New Roman"/>
                <w:b/>
                <w:i w:val="0"/>
                <w:sz w:val="20"/>
              </w:rPr>
              <w:t>96.000</w:t>
            </w:r>
          </w:p>
        </w:tc>
        <w:tc>
          <w:tcPr>
            <w:tcW w:type="dxa" w:w="850"/>
          </w:tcPr>
          <w:p>
            <w:pPr>
              <w:spacing w:after="0"/>
              <w:jc w:val="center"/>
              <w:rPr>
                <w:rFonts w:ascii="Times New Roman" w:hAnsi="Times New Roman" w:eastAsia="Times New Roman" w:cs="Times New Roman"/>
              </w:rPr>
            </w:pPr>
            <w:r>
              <w:rPr>
                <w:rFonts w:ascii="Times New Roman" w:hAnsi="Times New Roman" w:eastAsia="Times New Roman" w:cs="Times New Roman"/>
                <w:b/>
                <w:i w:val="0"/>
                <w:sz w:val="20"/>
              </w:rPr>
              <w:t>100</w:t>
            </w:r>
          </w:p>
        </w:tc>
      </w:tr>
      <w:tr>
        <w:tc>
          <w:tcPr>
            <w:tcW w:type="dxa" w:w="397"/>
          </w:tcPr>
          <w:p>
            <w:pPr>
              <w:spacing w:after="0"/>
              <w:jc w:val="center"/>
              <w:rPr>
                <w:rFonts w:ascii="Times New Roman" w:hAnsi="Times New Roman" w:eastAsia="Times New Roman" w:cs="Times New Roman"/>
              </w:rPr>
            </w:pPr>
            <w:r>
              <w:rPr>
                <w:rFonts w:ascii="Times New Roman" w:hAnsi="Times New Roman" w:eastAsia="Times New Roman" w:cs="Times New Roman"/>
                <w:b/>
                <w:i w:val="0"/>
                <w:sz w:val="20"/>
              </w:rPr>
              <w:t>3</w:t>
            </w:r>
          </w:p>
        </w:tc>
        <w:tc>
          <w:tcPr>
            <w:tcW w:type="dxa" w:w="1984"/>
          </w:tcPr>
          <w:p>
            <w:pPr>
              <w:spacing w:after="0"/>
              <w:jc w:val="left"/>
              <w:rPr>
                <w:rFonts w:ascii="Times New Roman" w:hAnsi="Times New Roman" w:eastAsia="Times New Roman" w:cs="Times New Roman"/>
              </w:rPr>
            </w:pPr>
            <w:r>
              <w:rPr>
                <w:rFonts w:ascii="Times New Roman" w:hAnsi="Times New Roman" w:eastAsia="Times New Roman" w:cs="Times New Roman"/>
                <w:b/>
                <w:i w:val="0"/>
                <w:sz w:val="20"/>
              </w:rPr>
              <w:t>Tổng giá trị hàng hóa xuất nhập khẩu qua địa bàn tỉnh</w:t>
            </w:r>
          </w:p>
        </w:tc>
        <w:tc>
          <w:tcPr>
            <w:tcW w:type="dxa" w:w="680"/>
          </w:tcPr>
          <w:p>
            <w:pPr>
              <w:spacing w:after="0"/>
              <w:jc w:val="center"/>
              <w:rPr>
                <w:rFonts w:ascii="Times New Roman" w:hAnsi="Times New Roman" w:eastAsia="Times New Roman" w:cs="Times New Roman"/>
              </w:rPr>
            </w:pPr>
            <w:r>
              <w:rPr>
                <w:rFonts w:ascii="Times New Roman" w:hAnsi="Times New Roman" w:eastAsia="Times New Roman" w:cs="Times New Roman"/>
                <w:b/>
                <w:i w:val="0"/>
                <w:sz w:val="20"/>
              </w:rPr>
              <w:t>Triệu USD</w:t>
            </w:r>
          </w:p>
        </w:tc>
        <w:tc>
          <w:tcPr>
            <w:tcW w:type="dxa" w:w="907"/>
          </w:tcPr>
          <w:p>
            <w:pPr>
              <w:spacing w:after="0"/>
              <w:jc w:val="center"/>
              <w:rPr>
                <w:rFonts w:ascii="Times New Roman" w:hAnsi="Times New Roman" w:eastAsia="Times New Roman" w:cs="Times New Roman"/>
              </w:rPr>
            </w:pPr>
            <w:r>
              <w:rPr>
                <w:rFonts w:ascii="Times New Roman" w:hAnsi="Times New Roman" w:eastAsia="Times New Roman" w:cs="Times New Roman"/>
                <w:b/>
                <w:i w:val="0"/>
                <w:sz w:val="20"/>
              </w:rPr>
              <w:t>6.140</w:t>
            </w:r>
          </w:p>
        </w:tc>
        <w:tc>
          <w:tcPr>
            <w:tcW w:type="dxa" w:w="850"/>
          </w:tcPr>
          <w:p>
            <w:pPr>
              <w:spacing w:after="0"/>
              <w:jc w:val="center"/>
              <w:rPr>
                <w:rFonts w:ascii="Times New Roman" w:hAnsi="Times New Roman" w:eastAsia="Times New Roman" w:cs="Times New Roman"/>
              </w:rPr>
            </w:pPr>
            <w:r>
              <w:rPr>
                <w:rFonts w:ascii="Times New Roman" w:hAnsi="Times New Roman" w:eastAsia="Times New Roman" w:cs="Times New Roman"/>
                <w:b/>
                <w:i w:val="0"/>
                <w:sz w:val="20"/>
              </w:rPr>
              <w:t>758,65</w:t>
            </w:r>
          </w:p>
        </w:tc>
        <w:tc>
          <w:tcPr>
            <w:tcW w:type="dxa" w:w="850"/>
          </w:tcPr>
          <w:p>
            <w:pPr>
              <w:spacing w:after="0"/>
              <w:jc w:val="center"/>
              <w:rPr>
                <w:rFonts w:ascii="Times New Roman" w:hAnsi="Times New Roman" w:eastAsia="Times New Roman" w:cs="Times New Roman"/>
              </w:rPr>
            </w:pPr>
            <w:r>
              <w:rPr>
                <w:rFonts w:ascii="Times New Roman" w:hAnsi="Times New Roman" w:eastAsia="Times New Roman" w:cs="Times New Roman"/>
                <w:b/>
                <w:i w:val="0"/>
                <w:sz w:val="20"/>
              </w:rPr>
              <w:t>996,6</w:t>
            </w:r>
          </w:p>
        </w:tc>
        <w:tc>
          <w:tcPr>
            <w:tcW w:type="dxa" w:w="850"/>
          </w:tcPr>
          <w:p>
            <w:pPr>
              <w:spacing w:after="0"/>
              <w:jc w:val="center"/>
              <w:rPr>
                <w:rFonts w:ascii="Times New Roman" w:hAnsi="Times New Roman" w:eastAsia="Times New Roman" w:cs="Times New Roman"/>
              </w:rPr>
            </w:pPr>
            <w:r>
              <w:rPr>
                <w:rFonts w:ascii="Times New Roman" w:hAnsi="Times New Roman" w:eastAsia="Times New Roman" w:cs="Times New Roman"/>
                <w:b/>
                <w:i w:val="0"/>
                <w:sz w:val="20"/>
              </w:rPr>
              <w:t>1.100</w:t>
            </w:r>
          </w:p>
        </w:tc>
        <w:tc>
          <w:tcPr>
            <w:tcW w:type="dxa" w:w="850"/>
          </w:tcPr>
          <w:p>
            <w:pPr>
              <w:spacing w:after="0"/>
              <w:jc w:val="center"/>
              <w:rPr>
                <w:rFonts w:ascii="Times New Roman" w:hAnsi="Times New Roman" w:eastAsia="Times New Roman" w:cs="Times New Roman"/>
              </w:rPr>
            </w:pPr>
            <w:r>
              <w:rPr>
                <w:rFonts w:ascii="Times New Roman" w:hAnsi="Times New Roman" w:eastAsia="Times New Roman" w:cs="Times New Roman"/>
                <w:b/>
                <w:i w:val="0"/>
                <w:sz w:val="20"/>
              </w:rPr>
              <w:t>1.200</w:t>
            </w:r>
          </w:p>
        </w:tc>
        <w:tc>
          <w:tcPr>
            <w:tcW w:type="dxa" w:w="850"/>
          </w:tcPr>
          <w:p>
            <w:pPr>
              <w:spacing w:after="0"/>
              <w:jc w:val="center"/>
              <w:rPr>
                <w:rFonts w:ascii="Times New Roman" w:hAnsi="Times New Roman" w:eastAsia="Times New Roman" w:cs="Times New Roman"/>
              </w:rPr>
            </w:pPr>
            <w:r>
              <w:rPr>
                <w:rFonts w:ascii="Times New Roman" w:hAnsi="Times New Roman" w:eastAsia="Times New Roman" w:cs="Times New Roman"/>
                <w:b/>
                <w:i w:val="0"/>
                <w:sz w:val="20"/>
              </w:rPr>
              <w:t>4.171</w:t>
            </w:r>
          </w:p>
        </w:tc>
        <w:tc>
          <w:tcPr>
            <w:tcW w:type="dxa" w:w="850"/>
          </w:tcPr>
          <w:p>
            <w:pPr>
              <w:spacing w:after="0"/>
              <w:jc w:val="center"/>
              <w:rPr>
                <w:rFonts w:ascii="Times New Roman" w:hAnsi="Times New Roman" w:eastAsia="Times New Roman" w:cs="Times New Roman"/>
              </w:rPr>
            </w:pPr>
            <w:r>
              <w:rPr>
                <w:rFonts w:ascii="Times New Roman" w:hAnsi="Times New Roman" w:eastAsia="Times New Roman" w:cs="Times New Roman"/>
                <w:b/>
                <w:i w:val="0"/>
                <w:sz w:val="20"/>
              </w:rPr>
              <w:t>67,93</w:t>
            </w:r>
          </w:p>
        </w:tc>
      </w:tr>
    </w:tbl>
    <w:p>
      <w:pPr>
        <w:spacing w:after="120" w:before="120"/>
        <w:ind w:firstLine="567"/>
        <w:jc w:val="both"/>
        <w:rPr>
          <w:rFonts w:ascii="Times New Roman" w:hAnsi="Times New Roman" w:eastAsia="Times New Roman" w:cs="Times New Roman"/>
        </w:rPr>
      </w:pPr>
      <w:r>
        <w:rPr>
          <w:rFonts w:ascii="Times New Roman" w:hAnsi="Times New Roman" w:eastAsia="Times New Roman" w:cs="Times New Roman"/>
          <w:b w:val="0"/>
          <w:i w:val="0"/>
          <w:sz w:val="24"/>
        </w:rPr>
        <w:t xml:space="preserve">Ghi chú: Quý II và Quý III là số thực hiện so với kịch bản (Quý II bằng 103,5% kịch bản, Quý III bằng 100% kịch bản); chỉ tiêu xuất nhập khẩu Quý III theo kịch bản 1.100 triệu USD, Quý IV phấn đấu 1.200 triệu USD, ước cả năm 4.171 triệu USD theo mục tiêu điều chỉnh tại Kế hoạch số 400/KH-UBND ngày 21/8/2026. </w:t>
      </w:r>
      <w:r>
        <w:rPr>
          <w:rFonts w:ascii="Times New Roman" w:hAnsi="Times New Roman" w:eastAsia="Times New Roman" w:cs="Times New Roman"/>
          <w:b w:val="0"/>
          <w:i w:val="0"/>
          <w:color w:val="7030A0"/>
          <w:sz w:val="24"/>
        </w:rPr>
        <w:t>Phòng Quản lý thương mại rà soát, thống nhất số thực hiện Quý III và ước cả năm chỉ tiêu xuất nhập khẩu, Quý IV chỉ tiêu bán lẻ với phần lời văn của báo cáo.</w:t>
      </w:r>
    </w:p>
    <w:sectPr w:rsidR="00FC693F" w:rsidRPr="0006063C" w:rsidSect="00034616">
      <w:headerReference w:type="default" r:id="rId9"/>
      <w:pgSz w:w="11906" w:h="16838"/>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rPr>
        <w:rFonts w:ascii="Times New Roman" w:hAnsi="Times New Roman" w:eastAsia="Times New Roman" w:cs="Times New Roman"/>
      </w:rPr>
    </w:pPr>
    <w:r>
      <w:rPr>
        <w:rFonts w:ascii="Times New Roman" w:hAnsi="Times New Roman" w:eastAsia="Times New Roman" w:cs="Times New Roman"/>
        <w:sz w:val="26"/>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40" w:lineRule="auto"/>
    </w:pPr>
    <w:rPr>
      <w:rFonts w:ascii="Times New Roman" w:hAnsi="Times New Roman" w:eastAsia="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