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CÔNG THƯƠNG</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67/2025/TT-BCT</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31 tháng 12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rPr>
          <w:rtl w:val="0"/>
        </w:rPr>
      </w:pPr>
      <w:bookmarkStart w:id="1" w:name="loai_1_name"/>
      <w:r>
        <w:rPr>
          <w:rtl w:val="0"/>
        </w:rPr>
        <w:t>SỬA ĐỔI, BỔ SUNG MỘT SỐ ĐIỀU CỦA THÔNG TƯ SỐ 43/2025/TT-BCT NGÀY 04 THÁNG 7 NĂM 2025 CỦA BỘ TRƯỞNG BỘ CÔNG THƯƠNG QUY ĐỊNH VỀ KỸ THUẬT AN TOÀN TRONG KHAI THÁC KHOÁNG SẢN</w:t>
      </w:r>
      <w:bookmarkEnd w:id="1"/>
    </w:p>
    <w:p>
      <w:pPr>
        <w:bidi w:val="0"/>
        <w:spacing w:before="120" w:beforeAutospacing="0" w:after="280" w:afterAutospacing="1"/>
        <w:rPr>
          <w:rtl w:val="0"/>
        </w:rPr>
      </w:pPr>
      <w:r>
        <w:rPr>
          <w:i/>
          <w:iCs/>
          <w:rtl w:val="0"/>
        </w:rPr>
        <w:t xml:space="preserve">Căn cứ Nghị định số </w:t>
      </w:r>
      <w:bookmarkStart w:id="2" w:name="tvpllink_fyrmoauwhp"/>
      <w:r>
        <w:rPr>
          <w:i/>
          <w:iCs/>
          <w:rtl w:val="0"/>
        </w:rPr>
        <w:t>193/2025/NĐ-CP</w:t>
      </w:r>
      <w:bookmarkEnd w:id="2"/>
      <w:r>
        <w:rPr>
          <w:i/>
          <w:iCs/>
          <w:rtl w:val="0"/>
        </w:rPr>
        <w:t xml:space="preserve"> ngày 02 tháng 7 năm 2025 của Chính phủ quy định chi tiết một số điều và biện pháp thi hành </w:t>
      </w:r>
      <w:bookmarkStart w:id="3" w:name="tvpllink_dlpntvbrtg"/>
      <w:r>
        <w:rPr>
          <w:i/>
          <w:iCs/>
          <w:rtl w:val="0"/>
        </w:rPr>
        <w:t>Luật Địa chất và khoáng sản</w:t>
      </w:r>
      <w:bookmarkEnd w:id="3"/>
      <w:r>
        <w:rPr>
          <w:i/>
          <w:iCs/>
          <w:rtl w:val="0"/>
        </w:rPr>
        <w:t>;</w:t>
      </w:r>
    </w:p>
    <w:p>
      <w:pPr>
        <w:bidi w:val="0"/>
        <w:spacing w:before="120" w:beforeAutospacing="0" w:after="280" w:afterAutospacing="1"/>
        <w:rPr>
          <w:rtl w:val="0"/>
        </w:rPr>
      </w:pPr>
      <w:r>
        <w:rPr>
          <w:i/>
          <w:iCs/>
          <w:rtl w:val="0"/>
        </w:rPr>
        <w:t xml:space="preserve">Căn cứ Nghị định số </w:t>
      </w:r>
      <w:bookmarkStart w:id="4" w:name="tvpllink_nyajtqivur"/>
      <w:r>
        <w:rPr>
          <w:i/>
          <w:iCs/>
          <w:rtl w:val="0"/>
        </w:rPr>
        <w:t>40/2025/NĐ-CP</w:t>
      </w:r>
      <w:bookmarkEnd w:id="4"/>
      <w:r>
        <w:rPr>
          <w:i/>
          <w:iCs/>
          <w:rtl w:val="0"/>
        </w:rPr>
        <w:t xml:space="preserve"> ngày 26 tháng 02 năm 2025 của Chính phủ quy định chức năng, nhiệm vụ, quyền hạn và cơ cấu tổ chức của Bộ Công Thương;</w:t>
      </w:r>
    </w:p>
    <w:p>
      <w:pPr>
        <w:bidi w:val="0"/>
        <w:spacing w:before="120" w:beforeAutospacing="0" w:after="280" w:afterAutospacing="1"/>
        <w:rPr>
          <w:rtl w:val="0"/>
        </w:rPr>
      </w:pPr>
      <w:r>
        <w:rPr>
          <w:i/>
          <w:iCs/>
          <w:rtl w:val="0"/>
        </w:rPr>
        <w:t>Theo đề nghị của Cục trưởng Cục Kỹ thuật an toàn và Môi trường công nghiệp;</w:t>
      </w:r>
    </w:p>
    <w:p>
      <w:pPr>
        <w:bidi w:val="0"/>
        <w:spacing w:before="120" w:beforeAutospacing="0" w:after="280" w:afterAutospacing="1"/>
        <w:rPr>
          <w:rtl w:val="0"/>
        </w:rPr>
      </w:pPr>
      <w:r>
        <w:rPr>
          <w:i/>
          <w:iCs/>
          <w:rtl w:val="0"/>
        </w:rPr>
        <w:t xml:space="preserve">Bộ trưởng Bộ Công Thương ban hành Thông tư Sửa đổi, bổ sung một số điều của Thông tư số </w:t>
      </w:r>
      <w:bookmarkStart w:id="5" w:name="tvpllink_mfpkdfsjww"/>
      <w:r>
        <w:rPr>
          <w:i/>
          <w:iCs/>
          <w:rtl w:val="0"/>
        </w:rPr>
        <w:t>43/2025/TT-BCT</w:t>
      </w:r>
      <w:bookmarkEnd w:id="5"/>
      <w:r>
        <w:rPr>
          <w:i/>
          <w:iCs/>
          <w:rtl w:val="0"/>
        </w:rPr>
        <w:t xml:space="preserve"> ngày 04 tháng 7 năm 2025 của Bộ trưởng Bộ Công Thương quy định về kỹ thuật an toàn trong khai thác khoáng sản.</w:t>
      </w:r>
    </w:p>
    <w:p>
      <w:pPr>
        <w:bidi w:val="0"/>
        <w:spacing w:before="120" w:beforeAutospacing="0" w:after="280" w:afterAutospacing="1"/>
        <w:rPr>
          <w:rtl w:val="0"/>
        </w:rPr>
      </w:pPr>
      <w:bookmarkStart w:id="6" w:name="dieu_1"/>
      <w:r>
        <w:rPr>
          <w:b/>
          <w:bCs/>
          <w:rtl w:val="0"/>
        </w:rPr>
        <w:t>Điều 1. Sửa đổi, bổ sung một số điều của Thông tư số 43/2025/TT-BCT ngày 04 tháng 7 năm 2025 của Bộ trưởng Bộ Công Thương quy định về kỹ thuật an toàn trong khai thác khoáng sản.</w:t>
      </w:r>
      <w:bookmarkEnd w:id="6"/>
    </w:p>
    <w:p>
      <w:pPr>
        <w:bidi w:val="0"/>
        <w:spacing w:before="120" w:beforeAutospacing="0" w:after="280" w:afterAutospacing="1"/>
        <w:rPr>
          <w:rtl w:val="0"/>
        </w:rPr>
      </w:pPr>
      <w:bookmarkStart w:id="7" w:name="khoan_1_1"/>
      <w:r>
        <w:rPr>
          <w:rtl w:val="0"/>
        </w:rPr>
        <w:t>1. Sửa đổi, bổ sung</w:t>
      </w:r>
      <w:bookmarkEnd w:id="7"/>
      <w:r>
        <w:rPr>
          <w:rtl w:val="0"/>
        </w:rPr>
        <w:t xml:space="preserve"> </w:t>
      </w:r>
      <w:bookmarkStart w:id="8" w:name="dc_1"/>
      <w:r>
        <w:rPr>
          <w:rtl w:val="0"/>
        </w:rPr>
        <w:t>khoản 4 và khoản 5 Điều 3</w:t>
      </w:r>
      <w:bookmarkEnd w:id="8"/>
      <w:r>
        <w:rPr>
          <w:rtl w:val="0"/>
        </w:rPr>
        <w:t xml:space="preserve"> </w:t>
      </w:r>
      <w:bookmarkStart w:id="9" w:name="khoan_1_1_name"/>
      <w:r>
        <w:rPr>
          <w:rtl w:val="0"/>
        </w:rPr>
        <w:t>như sau:</w:t>
      </w:r>
      <w:bookmarkEnd w:id="9"/>
    </w:p>
    <w:p>
      <w:pPr>
        <w:bidi w:val="0"/>
        <w:spacing w:before="120" w:beforeAutospacing="0" w:after="280" w:afterAutospacing="1"/>
        <w:rPr>
          <w:rtl w:val="0"/>
        </w:rPr>
      </w:pPr>
      <w:r>
        <w:rPr>
          <w:rtl w:val="0"/>
        </w:rPr>
        <w:t>“4. Quản đốc, chỉ huy trưởng công trường hoặc cấp tương đương sau đây gọi là Quản đốc là người được tổ chức, doanh nghiệp khai thác khoáng sản giao trách nhiệm để quản lý một đơn vị trực thuộc hoặc bộ phận sản xuất tham gia trực tiếp vào quá trình khai thác khoáng sản.</w:t>
      </w:r>
    </w:p>
    <w:p>
      <w:pPr>
        <w:bidi w:val="0"/>
        <w:spacing w:before="120" w:beforeAutospacing="0" w:after="280" w:afterAutospacing="1"/>
        <w:rPr>
          <w:rtl w:val="0"/>
        </w:rPr>
      </w:pPr>
      <w:r>
        <w:rPr>
          <w:rtl w:val="0"/>
        </w:rPr>
        <w:t>5. Trưởng ca hoặc cấp tương đương sau đây gọi là Trưởng ca là người được tổ chức, doanh nghiệp khai thác khoáng sản giao trách nhiệm để quản lý khu vực của một đơn vị trực thuộc hoặc bộ phận sản xuất tham gia quá trình khai thác khoáng sản trong 01 (một) ca làm việc theo sự phân công của Quản đốc.”</w:t>
      </w:r>
    </w:p>
    <w:p>
      <w:pPr>
        <w:bidi w:val="0"/>
        <w:spacing w:before="120" w:beforeAutospacing="0" w:after="280" w:afterAutospacing="1"/>
        <w:rPr>
          <w:rtl w:val="0"/>
        </w:rPr>
      </w:pPr>
      <w:r>
        <w:rPr>
          <w:rtl w:val="0"/>
        </w:rPr>
        <w:t xml:space="preserve">2. Sửa đổi, bổ sung </w:t>
      </w:r>
      <w:bookmarkStart w:id="10" w:name="dc_2"/>
      <w:r>
        <w:rPr>
          <w:rtl w:val="0"/>
        </w:rPr>
        <w:t>Điều 8</w:t>
      </w:r>
      <w:bookmarkEnd w:id="10"/>
    </w:p>
    <w:p>
      <w:pPr>
        <w:bidi w:val="0"/>
        <w:spacing w:before="120" w:beforeAutospacing="0" w:after="280" w:afterAutospacing="1"/>
        <w:rPr>
          <w:rtl w:val="0"/>
        </w:rPr>
      </w:pPr>
      <w:bookmarkStart w:id="11" w:name="diem_a_2_1"/>
      <w:r>
        <w:rPr>
          <w:rtl w:val="0"/>
        </w:rPr>
        <w:t>a) Sửa đổi, bổ sung tiêu đề</w:t>
      </w:r>
      <w:bookmarkEnd w:id="11"/>
      <w:r>
        <w:rPr>
          <w:rtl w:val="0"/>
        </w:rPr>
        <w:t xml:space="preserve"> </w:t>
      </w:r>
      <w:bookmarkStart w:id="12" w:name="dc_3"/>
      <w:r>
        <w:rPr>
          <w:rtl w:val="0"/>
        </w:rPr>
        <w:t>Điều 8</w:t>
      </w:r>
      <w:bookmarkEnd w:id="12"/>
      <w:r>
        <w:rPr>
          <w:rtl w:val="0"/>
        </w:rPr>
        <w:t xml:space="preserve"> </w:t>
      </w:r>
      <w:bookmarkStart w:id="13" w:name="diem_a_2_1_name"/>
      <w:r>
        <w:rPr>
          <w:rtl w:val="0"/>
        </w:rPr>
        <w:t>như sau:</w:t>
      </w:r>
      <w:bookmarkEnd w:id="13"/>
    </w:p>
    <w:p>
      <w:pPr>
        <w:bidi w:val="0"/>
        <w:spacing w:before="120" w:beforeAutospacing="0" w:after="280" w:afterAutospacing="1"/>
        <w:rPr>
          <w:rtl w:val="0"/>
        </w:rPr>
      </w:pPr>
      <w:r>
        <w:rPr>
          <w:rtl w:val="0"/>
        </w:rPr>
        <w:t>“Điều 8. Hệ thống thiết bị, phương tiện trước khi đưa vào vận hành lần đầu trong mỏ hầm lò và kiểm tra định kỳ thiết bị, phương tiện trong khai thác khoáng sản.”</w:t>
      </w:r>
    </w:p>
    <w:p>
      <w:pPr>
        <w:bidi w:val="0"/>
        <w:spacing w:before="120" w:beforeAutospacing="0" w:after="280" w:afterAutospacing="1"/>
        <w:rPr>
          <w:rtl w:val="0"/>
        </w:rPr>
      </w:pPr>
      <w:bookmarkStart w:id="14" w:name="diem_b_2_1"/>
      <w:r>
        <w:rPr>
          <w:rtl w:val="0"/>
        </w:rPr>
        <w:t>b) Bổ sung khoản 6 vào</w:t>
      </w:r>
      <w:bookmarkEnd w:id="14"/>
      <w:r>
        <w:rPr>
          <w:rtl w:val="0"/>
        </w:rPr>
        <w:t xml:space="preserve"> </w:t>
      </w:r>
      <w:bookmarkStart w:id="15" w:name="dc_4"/>
      <w:r>
        <w:rPr>
          <w:rtl w:val="0"/>
        </w:rPr>
        <w:t>Điều 8</w:t>
      </w:r>
      <w:bookmarkEnd w:id="15"/>
      <w:r>
        <w:rPr>
          <w:rtl w:val="0"/>
        </w:rPr>
        <w:t xml:space="preserve"> </w:t>
      </w:r>
      <w:bookmarkStart w:id="16" w:name="diem_b_2_1_name"/>
      <w:r>
        <w:rPr>
          <w:rtl w:val="0"/>
        </w:rPr>
        <w:t>như sau:</w:t>
      </w:r>
      <w:bookmarkEnd w:id="16"/>
    </w:p>
    <w:p>
      <w:pPr>
        <w:bidi w:val="0"/>
        <w:spacing w:before="120" w:beforeAutospacing="0" w:after="280" w:afterAutospacing="1"/>
        <w:rPr>
          <w:rtl w:val="0"/>
        </w:rPr>
      </w:pPr>
      <w:r>
        <w:rPr>
          <w:rtl w:val="0"/>
        </w:rPr>
        <w:t xml:space="preserve">“6. Kiểm tra định kỳ đối với thiết bị, phương tiện sử dụng trong khai thác khoáng sản được thực hiện theo các quy chuẩn kỹ thuật an toàn trong khai thác khoáng sản do Bộ Công Thương ban hành.” </w:t>
      </w:r>
    </w:p>
    <w:p>
      <w:pPr>
        <w:bidi w:val="0"/>
        <w:spacing w:before="120" w:beforeAutospacing="0" w:after="280" w:afterAutospacing="1"/>
        <w:rPr>
          <w:rtl w:val="0"/>
        </w:rPr>
      </w:pPr>
      <w:bookmarkStart w:id="17" w:name="dieu_2"/>
      <w:r>
        <w:rPr>
          <w:b/>
          <w:bCs/>
          <w:rtl w:val="0"/>
        </w:rPr>
        <w:t>Điều 2. Điều khoản thi hành</w:t>
      </w:r>
      <w:bookmarkEnd w:id="17"/>
    </w:p>
    <w:p>
      <w:pPr>
        <w:bidi w:val="0"/>
        <w:spacing w:before="120" w:beforeAutospacing="0" w:after="280" w:afterAutospacing="1"/>
        <w:rPr>
          <w:rtl w:val="0"/>
        </w:rPr>
      </w:pPr>
      <w:r>
        <w:rPr>
          <w:rtl w:val="0"/>
        </w:rPr>
        <w:t>Thông tư này có hiệu lực thi hành kể từ ngày 31 tháng 12 năm 2025./.</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565"/>
        <w:gridCol w:w="4075"/>
      </w:tblGrid>
      <w:tr>
        <w:tblPrEx>
          <w:tblW w:w="5000" w:type="pct"/>
          <w:jc w:val="left"/>
          <w:tblCellMar>
            <w:top w:w="0" w:type="dxa"/>
            <w:left w:w="0" w:type="dxa"/>
            <w:bottom w:w="0" w:type="dxa"/>
            <w:right w:w="0" w:type="dxa"/>
          </w:tblCellMar>
        </w:tblPrEx>
        <w:trPr>
          <w:jc w:val="left"/>
        </w:trPr>
        <w:tc>
          <w:tcPr>
            <w:tcW w:w="2642" w:type="pct"/>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Văn phòng Quốc hội;</w:t>
            </w:r>
            <w:r>
              <w:rPr>
                <w:sz w:val="16"/>
                <w:rtl w:val="0"/>
              </w:rPr>
              <w:br/>
            </w:r>
            <w:r>
              <w:rPr>
                <w:sz w:val="16"/>
                <w:rtl w:val="0"/>
              </w:rPr>
              <w:t>- Ủy ban Thường vụ Quốc hội;</w:t>
            </w:r>
            <w:r>
              <w:rPr>
                <w:sz w:val="16"/>
                <w:rtl w:val="0"/>
              </w:rPr>
              <w:br/>
            </w:r>
            <w:r>
              <w:rPr>
                <w:sz w:val="16"/>
                <w:rtl w:val="0"/>
              </w:rPr>
              <w:t>- Hội đồng Dân tộc và các Ủy ban của Quốc hội;</w:t>
            </w:r>
            <w:r>
              <w:rPr>
                <w:sz w:val="16"/>
                <w:rtl w:val="0"/>
              </w:rPr>
              <w:br/>
            </w:r>
            <w:r>
              <w:rPr>
                <w:sz w:val="16"/>
                <w:rtl w:val="0"/>
              </w:rPr>
              <w:t>- Văn phòng Chính phủ;</w:t>
            </w:r>
            <w:r>
              <w:rPr>
                <w:sz w:val="16"/>
                <w:rtl w:val="0"/>
              </w:rPr>
              <w:br/>
            </w:r>
            <w:r>
              <w:rPr>
                <w:sz w:val="16"/>
                <w:rtl w:val="0"/>
              </w:rPr>
              <w:t>- Thủ tướng và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TW;</w:t>
            </w:r>
            <w:r>
              <w:rPr>
                <w:sz w:val="16"/>
                <w:rtl w:val="0"/>
              </w:rPr>
              <w:br/>
            </w:r>
            <w:r>
              <w:rPr>
                <w:sz w:val="16"/>
                <w:rtl w:val="0"/>
              </w:rPr>
              <w:t>- Cục Kiểm tra văn bản và Quản lý xử lý vi phạm hành chính, Bộ Tư pháp;</w:t>
            </w:r>
            <w:r>
              <w:rPr>
                <w:sz w:val="16"/>
                <w:rtl w:val="0"/>
              </w:rPr>
              <w:br/>
            </w:r>
            <w:r>
              <w:rPr>
                <w:sz w:val="16"/>
                <w:rtl w:val="0"/>
              </w:rPr>
              <w:t>- Cục Kiểm soát thủ tục hành chính, Văn phòng Chính phủ;</w:t>
            </w:r>
            <w:r>
              <w:rPr>
                <w:sz w:val="16"/>
                <w:rtl w:val="0"/>
              </w:rPr>
              <w:br/>
            </w:r>
            <w:r>
              <w:rPr>
                <w:sz w:val="16"/>
                <w:rtl w:val="0"/>
              </w:rPr>
              <w:t>- Lãnh đạo Bộ Công Thương;</w:t>
            </w:r>
            <w:r>
              <w:rPr>
                <w:sz w:val="16"/>
                <w:rtl w:val="0"/>
              </w:rPr>
              <w:br/>
            </w:r>
            <w:r>
              <w:rPr>
                <w:sz w:val="16"/>
                <w:rtl w:val="0"/>
              </w:rPr>
              <w:t>- Các đơn vị thuộc Bộ Công Thương;</w:t>
            </w:r>
            <w:r>
              <w:rPr>
                <w:sz w:val="16"/>
                <w:rtl w:val="0"/>
              </w:rPr>
              <w:br/>
            </w:r>
            <w:r>
              <w:rPr>
                <w:sz w:val="16"/>
                <w:rtl w:val="0"/>
              </w:rPr>
              <w:t>- Sở Công Thương các tỉnh, thành phố trực thuộc TW;</w:t>
            </w:r>
            <w:r>
              <w:rPr>
                <w:sz w:val="16"/>
                <w:rtl w:val="0"/>
              </w:rPr>
              <w:br/>
            </w:r>
            <w:r>
              <w:rPr>
                <w:sz w:val="16"/>
                <w:rtl w:val="0"/>
              </w:rPr>
              <w:t>- Cổng thông tin điện tử Chính phủ; Cổng thông tin điện tử Bộ Công Thương;</w:t>
            </w:r>
            <w:r>
              <w:rPr>
                <w:sz w:val="16"/>
                <w:rtl w:val="0"/>
              </w:rPr>
              <w:br/>
            </w:r>
            <w:r>
              <w:rPr>
                <w:sz w:val="16"/>
                <w:rtl w:val="0"/>
              </w:rPr>
              <w:t>- Các doanh nghiệp khai thác khoáng sản;</w:t>
            </w:r>
            <w:r>
              <w:rPr>
                <w:sz w:val="16"/>
                <w:rtl w:val="0"/>
              </w:rPr>
              <w:br/>
            </w:r>
            <w:r>
              <w:rPr>
                <w:sz w:val="16"/>
                <w:rtl w:val="0"/>
              </w:rPr>
              <w:t>- Công báo;</w:t>
            </w:r>
            <w:r>
              <w:rPr>
                <w:sz w:val="16"/>
                <w:rtl w:val="0"/>
              </w:rPr>
              <w:br/>
            </w:r>
            <w:r>
              <w:rPr>
                <w:sz w:val="16"/>
                <w:rtl w:val="0"/>
              </w:rPr>
              <w:t>- Lưu: VT, ATMT.</w:t>
            </w:r>
          </w:p>
        </w:tc>
        <w:tc>
          <w:tcPr>
            <w:tcW w:w="2358"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KT. BỘ TRƯỞNG</w:t>
            </w:r>
            <w:r>
              <w:rPr>
                <w:rtl w:val="0"/>
              </w:rPr>
              <w:br/>
            </w:r>
            <w:r>
              <w:rPr>
                <w:b/>
                <w:bCs/>
                <w:rtl w:val="0"/>
              </w:rPr>
              <w:t>THỨ TRƯỞNG</w:t>
            </w:r>
            <w:r>
              <w:rPr>
                <w:rtl w:val="0"/>
              </w:rPr>
              <w:br/>
            </w:r>
            <w:r>
              <w:rPr>
                <w:rtl w:val="0"/>
              </w:rPr>
              <w:br/>
            </w:r>
            <w:r>
              <w:rPr>
                <w:rtl w:val="0"/>
              </w:rPr>
              <w:br/>
            </w:r>
            <w:r>
              <w:rPr>
                <w:rtl w:val="0"/>
              </w:rPr>
              <w:br/>
            </w:r>
            <w:r>
              <w:rPr>
                <w:rtl w:val="0"/>
              </w:rPr>
              <w:br/>
            </w:r>
            <w:r>
              <w:rPr>
                <w:b/>
                <w:bCs/>
                <w:rtl w:val="0"/>
              </w:rPr>
              <w:t>Trương Thanh Hoài</w:t>
            </w:r>
          </w:p>
        </w:tc>
      </w:tr>
    </w:tbl>
    <w:p>
      <w:pPr>
        <w:bidi w:val="0"/>
        <w:spacing w:before="120" w:beforeAutospacing="0" w:after="280" w:afterAutospacing="1"/>
        <w:rPr>
          <w:rtl w:val="0"/>
        </w:rP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