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187BB5" w14:textId="77777777" w:rsidR="001F1652" w:rsidRPr="001F1652" w:rsidRDefault="001F1652" w:rsidP="001F1652">
      <w:pPr>
        <w:jc w:val="both"/>
        <w:rPr>
          <w:rFonts w:eastAsia="Times New Roman"/>
          <w:lang w:eastAsia="en-GB"/>
        </w:rPr>
      </w:pPr>
    </w:p>
    <w:p w14:paraId="783F48BE" w14:textId="77777777" w:rsidR="00F60099" w:rsidRPr="00F60099" w:rsidRDefault="00F60099" w:rsidP="00F60099">
      <w:pPr>
        <w:jc w:val="center"/>
        <w:rPr>
          <w:rFonts w:eastAsia="Times New Roman"/>
          <w:b/>
          <w:color w:val="1B1C1D"/>
          <w:sz w:val="28"/>
          <w:szCs w:val="28"/>
          <w:lang w:eastAsia="en-GB"/>
        </w:rPr>
      </w:pPr>
      <w:r w:rsidRPr="00F60099">
        <w:rPr>
          <w:rFonts w:eastAsia="Times New Roman"/>
          <w:b/>
          <w:color w:val="1B1C1D"/>
          <w:sz w:val="28"/>
          <w:szCs w:val="28"/>
          <w:lang w:eastAsia="en-GB"/>
        </w:rPr>
        <w:t>BÀI LUẬN CUỐI KHÓA</w:t>
      </w:r>
    </w:p>
    <w:p w14:paraId="2ED69E15" w14:textId="77777777" w:rsidR="00F60099" w:rsidRPr="00F60099" w:rsidRDefault="00F60099" w:rsidP="00F60099">
      <w:pPr>
        <w:jc w:val="center"/>
        <w:rPr>
          <w:rFonts w:eastAsia="Times New Roman"/>
          <w:b/>
          <w:color w:val="1B1C1D"/>
          <w:sz w:val="28"/>
          <w:szCs w:val="28"/>
          <w:lang w:eastAsia="en-GB"/>
        </w:rPr>
      </w:pPr>
      <w:r w:rsidRPr="00F60099">
        <w:rPr>
          <w:rFonts w:eastAsia="Times New Roman"/>
          <w:b/>
          <w:color w:val="1B1C1D"/>
          <w:sz w:val="28"/>
          <w:szCs w:val="28"/>
          <w:lang w:eastAsia="en-GB"/>
        </w:rPr>
        <w:t>ĐOÀN CÔNG TÁC VIỆT NAM NGHIÊN CỨU TẠI TRƯỜNG ĐẢNG TRUNG ƯƠNG TRUNG QUỐC (BẮC KINH)</w:t>
      </w:r>
    </w:p>
    <w:p w14:paraId="720F9208" w14:textId="7A7B453F" w:rsidR="00836FB4" w:rsidRPr="00F60099" w:rsidRDefault="00F60099" w:rsidP="00F60099">
      <w:pPr>
        <w:jc w:val="center"/>
        <w:rPr>
          <w:rFonts w:eastAsia="Times New Roman"/>
          <w:bCs/>
          <w:i/>
          <w:iCs/>
          <w:color w:val="1B1C1D"/>
          <w:sz w:val="28"/>
          <w:szCs w:val="28"/>
          <w:lang w:eastAsia="en-GB"/>
        </w:rPr>
      </w:pPr>
      <w:r w:rsidRPr="00F60099">
        <w:rPr>
          <w:rFonts w:eastAsia="Times New Roman"/>
          <w:bCs/>
          <w:i/>
          <w:iCs/>
          <w:color w:val="1B1C1D"/>
          <w:sz w:val="28"/>
          <w:szCs w:val="28"/>
          <w:lang w:eastAsia="en-GB"/>
        </w:rPr>
        <w:t>(Thời gian từ ngày 20/10/2025 – 18/11/2025)</w:t>
      </w:r>
    </w:p>
    <w:p w14:paraId="5A62371D" w14:textId="77777777" w:rsidR="00836FB4" w:rsidRDefault="00836FB4" w:rsidP="00836FB4">
      <w:pPr>
        <w:rPr>
          <w:rFonts w:eastAsia="Times New Roman"/>
          <w:color w:val="1B1C1D"/>
          <w:sz w:val="28"/>
          <w:szCs w:val="28"/>
          <w:lang w:eastAsia="en-GB"/>
        </w:rPr>
      </w:pPr>
    </w:p>
    <w:p w14:paraId="01F9FC7B" w14:textId="50845E71" w:rsidR="00D01BFC" w:rsidRPr="00D01BFC" w:rsidRDefault="00F60099" w:rsidP="00D01BFC">
      <w:pPr>
        <w:jc w:val="right"/>
        <w:rPr>
          <w:rFonts w:eastAsia="Times New Roman"/>
          <w:i/>
          <w:color w:val="1B1C1D"/>
          <w:sz w:val="28"/>
          <w:szCs w:val="28"/>
          <w:lang w:eastAsia="en-GB"/>
        </w:rPr>
      </w:pPr>
      <w:r w:rsidRPr="00F60099">
        <w:rPr>
          <w:rFonts w:eastAsia="Times New Roman"/>
          <w:i/>
          <w:color w:val="1B1C1D"/>
          <w:sz w:val="28"/>
          <w:szCs w:val="28"/>
          <w:lang w:eastAsia="en-GB"/>
        </w:rPr>
        <w:t>Beijing, ngày 03/11/2025</w:t>
      </w:r>
    </w:p>
    <w:p w14:paraId="44407BF7" w14:textId="58529C29" w:rsidR="00F60099" w:rsidRDefault="00F60099" w:rsidP="00F60099">
      <w:pPr>
        <w:rPr>
          <w:rFonts w:eastAsia="Times New Roman"/>
          <w:b/>
          <w:color w:val="1B1C1D"/>
          <w:sz w:val="28"/>
          <w:szCs w:val="28"/>
          <w:lang w:eastAsia="en-GB"/>
        </w:rPr>
      </w:pPr>
      <w:r w:rsidRPr="00F60099">
        <w:rPr>
          <w:rFonts w:eastAsia="Times New Roman"/>
          <w:b/>
          <w:color w:val="1B1C1D"/>
          <w:sz w:val="28"/>
          <w:szCs w:val="28"/>
          <w:lang w:eastAsia="en-GB"/>
        </w:rPr>
        <w:t xml:space="preserve">Họ và tên: Hoàng Chí Hiền </w:t>
      </w:r>
    </w:p>
    <w:p w14:paraId="3AE31DDC" w14:textId="743DB106" w:rsidR="00D01BFC" w:rsidRDefault="00F60099" w:rsidP="00F60099">
      <w:pPr>
        <w:rPr>
          <w:rFonts w:eastAsia="Times New Roman"/>
          <w:color w:val="1B1C1D"/>
          <w:sz w:val="28"/>
          <w:szCs w:val="28"/>
          <w:lang w:eastAsia="en-GB"/>
        </w:rPr>
      </w:pPr>
      <w:r w:rsidRPr="00F60099">
        <w:rPr>
          <w:rFonts w:eastAsia="Times New Roman"/>
          <w:b/>
          <w:color w:val="1B1C1D"/>
          <w:sz w:val="28"/>
          <w:szCs w:val="28"/>
          <w:lang w:eastAsia="en-GB"/>
        </w:rPr>
        <w:t>Chức vụ: Tỉnh uỷ viên, Giám đốc Sở Công Thương tỉnh Lào Cai, Việt Nam</w:t>
      </w:r>
    </w:p>
    <w:p w14:paraId="35FD4EB3" w14:textId="77777777" w:rsidR="00836FB4" w:rsidRDefault="00836FB4" w:rsidP="00836FB4">
      <w:pPr>
        <w:jc w:val="center"/>
        <w:rPr>
          <w:rFonts w:eastAsia="Times New Roman"/>
          <w:color w:val="1B1C1D"/>
          <w:sz w:val="28"/>
          <w:szCs w:val="28"/>
          <w:lang w:eastAsia="en-GB"/>
        </w:rPr>
      </w:pPr>
    </w:p>
    <w:p w14:paraId="5EAB2572" w14:textId="77777777" w:rsidR="00F60099" w:rsidRDefault="00836FB4" w:rsidP="00836FB4">
      <w:pPr>
        <w:spacing w:before="120" w:after="120"/>
        <w:jc w:val="both"/>
        <w:rPr>
          <w:rFonts w:eastAsia="Times New Roman"/>
          <w:color w:val="1B1C1D"/>
          <w:sz w:val="28"/>
          <w:szCs w:val="28"/>
          <w:lang w:eastAsia="en-GB"/>
        </w:rPr>
      </w:pPr>
      <w:r>
        <w:rPr>
          <w:rFonts w:eastAsia="Times New Roman"/>
          <w:color w:val="1B1C1D"/>
          <w:sz w:val="28"/>
          <w:szCs w:val="28"/>
          <w:lang w:eastAsia="en-GB"/>
        </w:rPr>
        <w:tab/>
      </w:r>
    </w:p>
    <w:p w14:paraId="57089A45" w14:textId="189A25C8" w:rsidR="001F1652"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Lời đầu tiên, tôi xin trân trọng cảm ơn Ban Tổ chức phía Việt Nam và Trung Quốc đã tạo điều kiện cho đoàn cán bộ lãnh đạo ban, bộ ngành, các tỉnh, thành phố của Việt Nam, trong đó có cá nhân tôi. Khóa học không chỉ là một chương trình đào tạo chuyên môn mà còn là một trải nghiệm sâu sắc, đọng lại trong tôi nhiều suy ngẫm về con đường phát triển, đặc biệt trong bối cảnh cuộc Cách mạng công nghiệp lần thứ tư đang diễn ra mạnh mẽ. Cảm nhận của tôi về thành công của khóa học có thể gói gọn trong ba yếu tố: "Thiên thời, Địa lợi, Nhân hòa".</w:t>
      </w:r>
    </w:p>
    <w:p w14:paraId="52E56345" w14:textId="05517AA7"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Về thiên thời: Khóa học diễn ra vào thời điểm "chín muồi" khi quan hệ Việt Nam - Trung Quốc đang được củng cố sâu sắc, tạo điều kiện lý tưởng để chuyển hóa sự tương đồng về lý luận sang hợp tác thực chất về quản lý kinh tế - xã hội. Việc nghiên cứu thực tiễn thành công của Trung Quốc giúp Việt Nam nhận thức sâu sắc hơn con đường phát triển của mình. Khóa học đã vượt qua khuôn khổ ngoại giao, trở thành một diễn đàn chuyển giao tri thức quản trị cấp cao, thể hiện sinh động mối quan hệ "vừa là đồng chí, vừa là anh em".</w:t>
      </w:r>
    </w:p>
    <w:p w14:paraId="5E9849FA" w14:textId="0DE24FCF"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Địa lợi: Sự thành công đến từ công tác tổ chức chuyên nghiệp, chu đáo tại các trung tâm đào tạo hàng đầu với cơ sở vật chất hiện đại. Đặc biệt, phương pháp sư phạm hiệu quả thông qua việc khảo sát thực tế tại các "cái nôi" phát triển như Phúc Kiến ("Phúc Kiến số") và Chiết Giang. Cách làm này giúp gắn lý thuyết với thực tiễn, mang lại trải nghiệm trực quan và là minh chứng sống động cho thành tựu của Trung Quốc, qua đó củng cố giá trị của các bài học.</w:t>
      </w:r>
    </w:p>
    <w:p w14:paraId="1C7A4FD2" w14:textId="49BEAF8E"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Về Nhân hòa: Yếu tố con người là linh hồn của khóa học. Đội ngũ giảng viên là các chuyên gia hàng đầu, uyên bác, giàu thực tiễn và cởi mở. Học viên là lãnh đạo các tỉnh, thành Việt Nam, tạo ra môi trường trao đổi học thuật sôi nổi. Điều này giúp học viên không chỉ học từ chuyên gia mà còn học hỏi lẫn nhau, cùng tư duy vận dụng vào bối cảnh đa dạng tại địa phương. Khóa học đã góp phần kiến tạo một "cộng đồng thực hành" (mạng lưới lãnh đạo) để hỗ trợ nhau trong quá trình triển khai đổi mới sáng tạo và chuyển đổi số.</w:t>
      </w:r>
    </w:p>
    <w:p w14:paraId="285969B7" w14:textId="77777777" w:rsidR="00F60099" w:rsidRPr="00F60099" w:rsidRDefault="00F60099" w:rsidP="00F60099">
      <w:pPr>
        <w:spacing w:before="120" w:after="120"/>
        <w:jc w:val="both"/>
        <w:rPr>
          <w:rFonts w:eastAsia="Times New Roman"/>
          <w:b/>
          <w:bCs/>
          <w:color w:val="1B1C1D"/>
          <w:sz w:val="28"/>
          <w:szCs w:val="28"/>
          <w:lang w:eastAsia="en-GB"/>
        </w:rPr>
      </w:pPr>
      <w:r>
        <w:rPr>
          <w:rFonts w:eastAsia="Times New Roman"/>
          <w:color w:val="1B1C1D"/>
          <w:sz w:val="28"/>
          <w:szCs w:val="28"/>
          <w:lang w:eastAsia="en-GB"/>
        </w:rPr>
        <w:tab/>
      </w:r>
      <w:r w:rsidRPr="00F60099">
        <w:rPr>
          <w:rFonts w:eastAsia="Times New Roman"/>
          <w:b/>
          <w:bCs/>
          <w:color w:val="1B1C1D"/>
          <w:sz w:val="28"/>
          <w:szCs w:val="28"/>
          <w:lang w:eastAsia="en-GB"/>
        </w:rPr>
        <w:t xml:space="preserve">1. Những điều tâm đắc, học hỏi từ khoá học </w:t>
      </w:r>
    </w:p>
    <w:p w14:paraId="6F5520F9" w14:textId="0939596A"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 xml:space="preserve">Trong các chuyên đề của khóa học, hai nội dung có ý nghĩa thực tiễn sâu sắc nhất là Chuyên đề 2 về quá trình phát triển kinh tế số (từ "Phúc Kiến số", "Chiết Giang số" đến "Trung Quốc số") và Chuyên đề 7 về phát triển nông nghiệp </w:t>
      </w:r>
      <w:r w:rsidRPr="00F60099">
        <w:rPr>
          <w:rFonts w:eastAsia="Times New Roman"/>
          <w:color w:val="1B1C1D"/>
          <w:sz w:val="28"/>
          <w:szCs w:val="28"/>
          <w:lang w:eastAsia="en-GB"/>
        </w:rPr>
        <w:lastRenderedPageBreak/>
        <w:t>(giải quyết vấn đề "Tam Nông"). Nếu chuyên đề thứ nhất đại diện cho "tầm nhìn đột phá" và "động lực" của tương lai, thì chuyên đề thứ hai chính là "nền tảng bền vững" và "cái gốc" của sự ổn định chính trị - xã hội.</w:t>
      </w:r>
    </w:p>
    <w:p w14:paraId="30967E64" w14:textId="23AE284D"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b/>
          <w:bCs/>
          <w:color w:val="1B1C1D"/>
          <w:sz w:val="28"/>
          <w:szCs w:val="28"/>
          <w:lang w:eastAsia="en-GB"/>
        </w:rPr>
        <w:t>Trụ cột 1: "Trung Quốc số" – Tầm nhìn Đột phá và Vai trò Kiến tạo của Nhà nước.</w:t>
      </w:r>
      <w:r w:rsidRPr="00F60099">
        <w:rPr>
          <w:rFonts w:eastAsia="Times New Roman"/>
          <w:color w:val="1B1C1D"/>
          <w:sz w:val="28"/>
          <w:szCs w:val="28"/>
          <w:lang w:eastAsia="en-GB"/>
        </w:rPr>
        <w:t xml:space="preserve"> Quá trình phát triển kinh tế số của Trung Quốc cho thấy ba luận điểm cốt lõi:</w:t>
      </w:r>
    </w:p>
    <w:p w14:paraId="4B9218F0" w14:textId="75B38396"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Một là, Kinh tế số là lời giải cho các "điểm nghẽn" phát triển, không phải là một cuộc chạy đua công nghệ thuần túy. Trung Quốc luôn xem công nghệ số là công cụ giải quyết những bài toán kinh tế cụ thể ở từng giai đoạn. "Phúc Kiến số" (năm 2000) được khởi xướng để phá vỡ thế bế tắc khi kinh tế Phúc Kiến tăng trưởng trì trệ, cơ cấu lạc hậu. "Chiết Giang số" (năm 2003) ra đời khi mô hình tăng trưởng dựa vào tài nguyên đã tới hạn. Cuối cùng, chiến lược "Trung Quốc số" được nâng tầm quốc gia để giải quyết thách thức "bẫy thu nhập trung bình" và giành thế chủ động cạnh tranh toàn cầu. Bài học là: chuyển đổi số phải bắt nguồn từ yêu cầu thực tiễn, nhằm tháo gỡ những nút thắt lớn nhất của nền kinh tế.</w:t>
      </w:r>
    </w:p>
    <w:p w14:paraId="016A6ECE" w14:textId="57A9F2B6"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Hai là, Triết lý "Hạ tầng đi trước" và vai trò kiến tạo của Chính phủ thông qua "đòn bẩy" Chính phủ số. Để giải quyết bài toán "con gà - quả trứng", Chính phủ Trung Quốc đã chủ động đóng vai trò kiến tạo bằng cách đầu tư xây dựng Chính phủ điện tử trước tiên. Bằng cách số hóa quy trình hành chính, Chính phủ không chỉ nâng cao hiệu quả quản lý mà còn tạo ra hạ tầng số ban đầu, hình thành nhu cầu và thúc đẩy hệ sinh thái số. Đây là triết lý "xây đường trước để mời gọi xe chạy", chấp nhận đi trước một bước để tạo lập nền tảng cho khu vực tư nhân.</w:t>
      </w:r>
    </w:p>
    <w:p w14:paraId="12693FB6" w14:textId="027D158A"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Ba là, Sự tương đồng chiến lược với chủ trương của Việt Nam. Kinh nghiệm của Trung Quốc tương đồng sâu sắc với Nghị quyết số 57-NQ/TW ngày 22/12/2024 của Bộ Chính trị Đảng Cộng sản Việt Nam về đột phá phát triển khoa học, công nghệ, đổi mới sáng tạo và chuyển đổi số quốc gia. Khi cả hai đều xác định mục tiêu cốt lõi là "thúc đẩy quá trình đổi mới mô hình tăng trưởng, cơ cấu lại nền kinh tế... phát triển mạnh mẽ kinh tế số". Điều này khẳng định Việt Nam đang đi đúng hướng và việc học hỏi kinh nghiệm thành công từ Trung Quốc là cần thiết.</w:t>
      </w:r>
    </w:p>
    <w:p w14:paraId="7265BE5A" w14:textId="7D2BF972"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b/>
          <w:bCs/>
          <w:color w:val="1B1C1D"/>
          <w:sz w:val="28"/>
          <w:szCs w:val="28"/>
          <w:lang w:eastAsia="en-GB"/>
        </w:rPr>
        <w:t xml:space="preserve">Trụ cột 2: "Tam Nông" – Nền tảng Chính trị và </w:t>
      </w:r>
      <w:proofErr w:type="gramStart"/>
      <w:r w:rsidRPr="00F60099">
        <w:rPr>
          <w:rFonts w:eastAsia="Times New Roman"/>
          <w:b/>
          <w:bCs/>
          <w:color w:val="1B1C1D"/>
          <w:sz w:val="28"/>
          <w:szCs w:val="28"/>
          <w:lang w:eastAsia="en-GB"/>
        </w:rPr>
        <w:t>An</w:t>
      </w:r>
      <w:proofErr w:type="gramEnd"/>
      <w:r w:rsidRPr="00F60099">
        <w:rPr>
          <w:rFonts w:eastAsia="Times New Roman"/>
          <w:b/>
          <w:bCs/>
          <w:color w:val="1B1C1D"/>
          <w:sz w:val="28"/>
          <w:szCs w:val="28"/>
          <w:lang w:eastAsia="en-GB"/>
        </w:rPr>
        <w:t xml:space="preserve"> ninh Quốc gia:</w:t>
      </w:r>
      <w:r w:rsidRPr="00F60099">
        <w:rPr>
          <w:rFonts w:eastAsia="Times New Roman"/>
          <w:color w:val="1B1C1D"/>
          <w:sz w:val="28"/>
          <w:szCs w:val="28"/>
          <w:lang w:eastAsia="en-GB"/>
        </w:rPr>
        <w:t xml:space="preserve"> Nếu "Trung Quốc số" là câu chuyện của tương lai, thì chuyên đề "Tam Nông" (Nông nghiệp, Nông thôn, Nông dân) là bức tranh về "cái gốc" của sự ổn định, với các nội hàm:</w:t>
      </w:r>
    </w:p>
    <w:p w14:paraId="64CBAF80" w14:textId="5D706003"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Một là, "Tam Nông" là vấn đề chính trị - xã hội căn bản. Thực tiễn Trung Quốc chứng minh đây là vấn đề cốt lõi, liên quan trực tiếp đến sự hưng thịnh của Đảng và Nhà nước. Mối quan hệ giữa Đảng và nông dân là "huyết thống" ("nông vi đảng bản"), do đó, giải quyết tốt vấn đề nông dân chính là củng cố nền tảng chính trị.</w:t>
      </w:r>
    </w:p>
    <w:p w14:paraId="3224753E" w14:textId="3D19F680"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 xml:space="preserve">Hai là, Thành công của Trung Quốc gắn liền với 3 đột phá về "Tam Nông": (1) Đảm bảo an ninh lương thực tuyệt đối cho 1,4 tỷ dân; (2) Hoàn thành mục tiêu xóa đói giảm nghèo tuyệt đối, thu hẹp chênh lệch thu nhập thành thị - nông thôn </w:t>
      </w:r>
      <w:r w:rsidRPr="00F60099">
        <w:rPr>
          <w:rFonts w:eastAsia="Times New Roman"/>
          <w:color w:val="1B1C1D"/>
          <w:sz w:val="28"/>
          <w:szCs w:val="28"/>
          <w:lang w:eastAsia="en-GB"/>
        </w:rPr>
        <w:lastRenderedPageBreak/>
        <w:t>(tỷ lệ hiện nay là 2,39:1); (3) Hiện đại hóa toàn diện hạ tầng nông thôn (điện, cáp quang, 4G phủ khắp các thôn).</w:t>
      </w:r>
    </w:p>
    <w:p w14:paraId="5EE33674" w14:textId="2B007FAF"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Ba là, Tầm nhìn giai đoạn mới (Đại hội XX): Báo cáo Đại hội XX xác định nhiệm vụ nặng nề nhất vẫn là ở nông thôn. Do đó, mục tiêu giai đoạn mới là xây dựng "cường quốc nông nghiệp" và "chấn hưng toàn diện" nông thôn.</w:t>
      </w:r>
    </w:p>
    <w:p w14:paraId="0A5D13F2" w14:textId="63433C36"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Bài học sâu sắc nhất chính là mối quan hệ biện chứng và sự hội tụ chiến lược giữa hai trụ cột trên. "Trung Quốc số" (động lực) và "Tam Nông" (nền tảng) không phải là hai chiến lược song song, mà là một chiến lược hội tụ. Thành công đặc sắc của Trung Quốc nằm ở chỗ đã sử dụng chính động lực mới (công nghệ số) để cải tạo, nâng cấp và củng cố nền tảng cũ (Tam Nông). Một quốc gia hiện đại không thể có "bộ não" ở thế kỷ 21 (kinh tế số, AI) trong khi "cái gốc" vẫn ở thế kỷ 20 (nông thôn lạc hậu). Sự hội tụ này thể hiện qua hai thực tiễn:</w:t>
      </w:r>
    </w:p>
    <w:p w14:paraId="2E618ABC" w14:textId="7393FDEA"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b/>
          <w:bCs/>
          <w:color w:val="1B1C1D"/>
          <w:sz w:val="28"/>
          <w:szCs w:val="28"/>
          <w:lang w:eastAsia="en-GB"/>
        </w:rPr>
        <w:t>Bài học thực tiễn 1:</w:t>
      </w:r>
      <w:r w:rsidRPr="00F60099">
        <w:rPr>
          <w:rFonts w:eastAsia="Times New Roman"/>
          <w:color w:val="1B1C1D"/>
          <w:sz w:val="28"/>
          <w:szCs w:val="28"/>
          <w:lang w:eastAsia="en-GB"/>
        </w:rPr>
        <w:t xml:space="preserve"> "Công trình nghìn vạn" (Chiết Giang): Chương trình "Nghìn làng Mẫu, Vạn làng Chỉnh trang" tại Chiết Giang cho thấy rõ sự hội tụ này. Chương trình bắt đầu từ (Giai đoạn 1) chỉnh trị môi trường bẩn, yếu kém. Tuy nhiên, để đạt đến (Giai đoạn 3) "cùng giàu" và giải quyết các thách thức thời đại mới (biến tài nguyên thành tài sản, giải quyết "làng rỗng"), Chiết Giang đã phải áp dụng các công cụ của "Chiết Giang số" (Trụ cột 1) vào "Công trình nghìn vạn" (Trụ cột 2). Tỉnh Chiết Giang vừa thông qua Quy chế (hiệu lực từ ngày 1/1/2025), lần đầu tiên luật hóa "cơ chế trao quyền bằng công nghệ số" và "cơ chế chia sẻ... nguồn tài nguyên dữ liệu nông nghiệp nông thôn".</w:t>
      </w:r>
    </w:p>
    <w:p w14:paraId="2B0E4E42" w14:textId="77777777"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b/>
          <w:bCs/>
          <w:color w:val="1B1C1D"/>
          <w:sz w:val="28"/>
          <w:szCs w:val="28"/>
          <w:lang w:eastAsia="en-GB"/>
        </w:rPr>
        <w:t>Bài học thực tiễn 2:</w:t>
      </w:r>
      <w:r w:rsidRPr="00F60099">
        <w:rPr>
          <w:rFonts w:eastAsia="Times New Roman"/>
          <w:color w:val="1B1C1D"/>
          <w:sz w:val="28"/>
          <w:szCs w:val="28"/>
          <w:lang w:eastAsia="en-GB"/>
        </w:rPr>
        <w:t xml:space="preserve"> Thực tiễn Chiến lược Quốc gia – "Làng kỹ thuật số" và "Nông nghiệp thông minh": Bài học thành công từ Chiết Giang đã được đúc kết và nâng tầm thành chiến lược quốc gia, thể chế hóa mối quan hệ giữa công nghệ số và "Tam Nông", cụ thể: </w:t>
      </w:r>
    </w:p>
    <w:p w14:paraId="68C3D10B" w14:textId="5EDD0427"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 "Kế hoạch hành động phát triển Làng kỹ thuật số (2022-2025)": Đặt mục tiêu phổ cập hạ tầng (4G/5G, cáp quang) song song với thúc đẩy chuyển đổi số sản xuất (nông nghiệp thông minh) và quản trị nông thôn (chính phủ điện tử, xây dựng Đảng thông minh).</w:t>
      </w:r>
    </w:p>
    <w:p w14:paraId="5F7CF5D2" w14:textId="7E3E45ED"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t xml:space="preserve">- </w:t>
      </w:r>
      <w:r w:rsidRPr="00F60099">
        <w:rPr>
          <w:rFonts w:eastAsia="Times New Roman"/>
          <w:color w:val="1B1C1D"/>
          <w:sz w:val="28"/>
          <w:szCs w:val="28"/>
          <w:lang w:eastAsia="en-GB"/>
        </w:rPr>
        <w:t>"Chiến lược Nông nghiệp thông minh": Đề ra tầm nhìn dùng "máy tính thay thế trí óc" (thông qua AI và Big Data) và "máy móc thay thế sức lao động" (qua thiết bị tự hành và IoT). Để thực hiện, Trung Quốc đang xây dựng "Trung tâm Dữ liệu lớn Nông thôn Nông nghiệp Quốc gia" và hệ thống thu thập thông tin "Trời - Đất - Người" (vệ tinh, máy bay không người lái, cảm biến IoT).</w:t>
      </w:r>
    </w:p>
    <w:p w14:paraId="41B841A2" w14:textId="0BBB6C16" w:rsidR="00F60099" w:rsidRDefault="00F60099" w:rsidP="00F60099">
      <w:pPr>
        <w:spacing w:before="120" w:after="120"/>
        <w:jc w:val="both"/>
        <w:rPr>
          <w:rFonts w:eastAsia="Times New Roman"/>
          <w:b/>
          <w:bCs/>
          <w:color w:val="1B1C1D"/>
          <w:sz w:val="28"/>
          <w:szCs w:val="28"/>
          <w:lang w:eastAsia="en-GB"/>
        </w:rPr>
      </w:pPr>
      <w:r>
        <w:rPr>
          <w:rFonts w:eastAsia="Times New Roman"/>
          <w:color w:val="1B1C1D"/>
          <w:sz w:val="28"/>
          <w:szCs w:val="28"/>
          <w:lang w:eastAsia="en-GB"/>
        </w:rPr>
        <w:tab/>
      </w:r>
      <w:r w:rsidRPr="00F60099">
        <w:rPr>
          <w:rFonts w:eastAsia="Times New Roman"/>
          <w:b/>
          <w:bCs/>
          <w:color w:val="1B1C1D"/>
          <w:sz w:val="28"/>
          <w:szCs w:val="28"/>
          <w:lang w:eastAsia="en-GB"/>
        </w:rPr>
        <w:t>2. Để các khóa học trong tương lai ngày càng hiệu quả và thiết thực hơn, tôi xin có một vài đề xuất, kiến nghị như sau:</w:t>
      </w:r>
    </w:p>
    <w:p w14:paraId="26198E22" w14:textId="283BCFFB" w:rsidR="00362301" w:rsidRDefault="00F60099" w:rsidP="00F60099">
      <w:pPr>
        <w:spacing w:before="120" w:after="120"/>
        <w:jc w:val="both"/>
        <w:rPr>
          <w:rFonts w:eastAsia="Times New Roman"/>
          <w:b/>
          <w:bCs/>
          <w:color w:val="1B1C1D"/>
          <w:sz w:val="28"/>
          <w:szCs w:val="28"/>
          <w:lang w:eastAsia="en-GB"/>
        </w:rPr>
      </w:pPr>
      <w:r>
        <w:rPr>
          <w:rFonts w:eastAsia="Times New Roman"/>
          <w:b/>
          <w:bCs/>
          <w:color w:val="1B1C1D"/>
          <w:sz w:val="28"/>
          <w:szCs w:val="28"/>
          <w:lang w:eastAsia="en-GB"/>
        </w:rPr>
        <w:tab/>
      </w:r>
      <w:r w:rsidRPr="00F60099">
        <w:rPr>
          <w:rFonts w:eastAsia="Times New Roman"/>
          <w:b/>
          <w:bCs/>
          <w:color w:val="1B1C1D"/>
          <w:sz w:val="28"/>
          <w:szCs w:val="28"/>
          <w:lang w:eastAsia="en-GB"/>
        </w:rPr>
        <w:t>- Về Nội dung Đào tạo</w:t>
      </w:r>
      <w:r w:rsidR="00362301">
        <w:rPr>
          <w:rFonts w:eastAsia="Times New Roman"/>
          <w:b/>
          <w:bCs/>
          <w:color w:val="1B1C1D"/>
          <w:sz w:val="28"/>
          <w:szCs w:val="28"/>
          <w:lang w:eastAsia="en-GB"/>
        </w:rPr>
        <w:t>:</w:t>
      </w:r>
      <w:r w:rsidRPr="00F60099">
        <w:rPr>
          <w:rFonts w:eastAsia="Times New Roman"/>
          <w:b/>
          <w:bCs/>
          <w:color w:val="1B1C1D"/>
          <w:sz w:val="28"/>
          <w:szCs w:val="28"/>
          <w:lang w:eastAsia="en-GB"/>
        </w:rPr>
        <w:t xml:space="preserve"> </w:t>
      </w:r>
    </w:p>
    <w:p w14:paraId="57C87D5A" w14:textId="77777777" w:rsidR="00362301" w:rsidRDefault="00362301" w:rsidP="00F60099">
      <w:pPr>
        <w:spacing w:before="120" w:after="120"/>
        <w:jc w:val="both"/>
        <w:rPr>
          <w:rFonts w:eastAsia="Times New Roman"/>
          <w:color w:val="1B1C1D"/>
          <w:sz w:val="28"/>
          <w:szCs w:val="28"/>
          <w:lang w:eastAsia="en-GB"/>
        </w:rPr>
      </w:pPr>
      <w:r>
        <w:rPr>
          <w:rFonts w:eastAsia="Times New Roman"/>
          <w:b/>
          <w:bCs/>
          <w:color w:val="1B1C1D"/>
          <w:sz w:val="28"/>
          <w:szCs w:val="28"/>
          <w:lang w:eastAsia="en-GB"/>
        </w:rPr>
        <w:tab/>
      </w:r>
      <w:r w:rsidR="00F60099" w:rsidRPr="00AF6243">
        <w:rPr>
          <w:rFonts w:eastAsia="Times New Roman"/>
          <w:color w:val="1B1C1D"/>
          <w:sz w:val="28"/>
          <w:szCs w:val="28"/>
          <w:lang w:eastAsia="en-GB"/>
        </w:rPr>
        <w:t>Một là,</w:t>
      </w:r>
      <w:r w:rsidR="00F60099" w:rsidRPr="00F60099">
        <w:rPr>
          <w:rFonts w:eastAsia="Times New Roman"/>
          <w:color w:val="1B1C1D"/>
          <w:sz w:val="28"/>
          <w:szCs w:val="28"/>
          <w:lang w:eastAsia="en-GB"/>
        </w:rPr>
        <w:t xml:space="preserve"> bên cạnh việc giới thiệu sâu về mô hình thành công của Trung Quốc, các khóa học sau nên có thêm các nội dung phân tích, so sánh với các mô hình phát triển khác trên thế giới và thảo luận kỹ lưỡng về các điều kiện tiên quyết (thể chế, hạ tầng, văn hóa) để áp dụng thành công tại Việt Nam. </w:t>
      </w:r>
    </w:p>
    <w:p w14:paraId="35F3E493" w14:textId="72F4929A" w:rsidR="0096301D" w:rsidRDefault="00362301" w:rsidP="0096301D">
      <w:pPr>
        <w:spacing w:before="120" w:after="120"/>
        <w:jc w:val="both"/>
        <w:rPr>
          <w:rFonts w:eastAsia="Times New Roman"/>
          <w:color w:val="1B1C1D"/>
          <w:sz w:val="28"/>
          <w:szCs w:val="28"/>
          <w:lang w:eastAsia="en-GB"/>
        </w:rPr>
      </w:pPr>
      <w:r>
        <w:rPr>
          <w:rFonts w:eastAsia="Times New Roman"/>
          <w:color w:val="1B1C1D"/>
          <w:sz w:val="28"/>
          <w:szCs w:val="28"/>
          <w:lang w:eastAsia="en-GB"/>
        </w:rPr>
        <w:lastRenderedPageBreak/>
        <w:tab/>
      </w:r>
      <w:r w:rsidR="00F60099" w:rsidRPr="00AF6243">
        <w:rPr>
          <w:rFonts w:eastAsia="Times New Roman"/>
          <w:color w:val="1B1C1D"/>
          <w:sz w:val="28"/>
          <w:szCs w:val="28"/>
          <w:lang w:eastAsia="en-GB"/>
        </w:rPr>
        <w:t>Hai là,</w:t>
      </w:r>
      <w:r w:rsidR="00F60099" w:rsidRPr="00F60099">
        <w:rPr>
          <w:rFonts w:eastAsia="Times New Roman"/>
          <w:color w:val="1B1C1D"/>
          <w:sz w:val="28"/>
          <w:szCs w:val="28"/>
          <w:lang w:eastAsia="en-GB"/>
        </w:rPr>
        <w:t xml:space="preserve"> </w:t>
      </w:r>
      <w:r w:rsidR="0096301D" w:rsidRPr="0096301D">
        <w:rPr>
          <w:rFonts w:eastAsia="Times New Roman"/>
          <w:color w:val="1B1C1D"/>
          <w:sz w:val="28"/>
          <w:szCs w:val="28"/>
          <w:lang w:eastAsia="en-GB"/>
        </w:rPr>
        <w:t>xây dựng chuyên đề tập trung vào các bài học kinh n</w:t>
      </w:r>
      <w:r w:rsidR="0096301D">
        <w:rPr>
          <w:rFonts w:eastAsia="Times New Roman"/>
          <w:color w:val="1B1C1D"/>
          <w:sz w:val="28"/>
          <w:szCs w:val="28"/>
          <w:lang w:eastAsia="en-GB"/>
        </w:rPr>
        <w:t>ghiệm về hợp tác đầu tư quốc tế, trong đó</w:t>
      </w:r>
      <w:r w:rsidR="0096301D" w:rsidRPr="0096301D">
        <w:rPr>
          <w:rFonts w:eastAsia="Times New Roman"/>
          <w:color w:val="1B1C1D"/>
          <w:sz w:val="28"/>
          <w:szCs w:val="28"/>
          <w:lang w:eastAsia="en-GB"/>
        </w:rPr>
        <w:t xml:space="preserve"> phân tích sâu cả hai chiều: (1) Các mô hình thành công và thất bại trong việc doanh nghiệp nước ngoài đầu tư vào Trung Quốc; và (2) Các bài học kinh nghiệm từ các doanh nghiệp Trung Qu</w:t>
      </w:r>
      <w:r w:rsidR="0096301D">
        <w:rPr>
          <w:rFonts w:eastAsia="Times New Roman"/>
          <w:color w:val="1B1C1D"/>
          <w:sz w:val="28"/>
          <w:szCs w:val="28"/>
          <w:lang w:eastAsia="en-GB"/>
        </w:rPr>
        <w:t xml:space="preserve">ốc đầu tư ra nước ngoài (ODI). </w:t>
      </w:r>
      <w:r w:rsidR="0096301D" w:rsidRPr="0096301D">
        <w:rPr>
          <w:rFonts w:eastAsia="Times New Roman"/>
          <w:color w:val="1B1C1D"/>
          <w:sz w:val="28"/>
          <w:szCs w:val="28"/>
          <w:lang w:eastAsia="en-GB"/>
        </w:rPr>
        <w:t>Trên cơ sở đó, tổ chức thảo luận chuyên sâu về chiến lược hợp tác đầu tư, thương mại Việt-Trung. Các thảo luận này cần gắn với các chiến lược quốc gia của Trung Quốc như "Chiến lược Đại khai phá miền Tây", tập trung phân tích sự kết nối hạ tầng (đường bộ, đường sắt) từ Vân Nam, Quảng Tây đến các cảng biển Đông Nam Á/Nam Á, và làm rõ ý nghĩa chiến lược của tuyến sắt Côn Minh - Lào Cai - Hải Phòng, nhằm tối ưu hóa hợp tác liên vùng.</w:t>
      </w:r>
      <w:bookmarkStart w:id="0" w:name="_GoBack"/>
      <w:bookmarkEnd w:id="0"/>
    </w:p>
    <w:p w14:paraId="1057787B" w14:textId="19A6A7ED" w:rsidR="00362301"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b/>
          <w:bCs/>
          <w:color w:val="1B1C1D"/>
          <w:sz w:val="28"/>
          <w:szCs w:val="28"/>
          <w:lang w:eastAsia="en-GB"/>
        </w:rPr>
        <w:t>- Về Công tác Tổ chức</w:t>
      </w:r>
      <w:r w:rsidR="00362301">
        <w:rPr>
          <w:rFonts w:eastAsia="Times New Roman"/>
          <w:b/>
          <w:bCs/>
          <w:color w:val="1B1C1D"/>
          <w:sz w:val="28"/>
          <w:szCs w:val="28"/>
          <w:lang w:eastAsia="en-GB"/>
        </w:rPr>
        <w:t>:</w:t>
      </w:r>
      <w:r w:rsidRPr="00F60099">
        <w:rPr>
          <w:rFonts w:eastAsia="Times New Roman"/>
          <w:color w:val="1B1C1D"/>
          <w:sz w:val="28"/>
          <w:szCs w:val="28"/>
          <w:lang w:eastAsia="en-GB"/>
        </w:rPr>
        <w:t xml:space="preserve"> </w:t>
      </w:r>
    </w:p>
    <w:p w14:paraId="19DF0B2E" w14:textId="02C500D5" w:rsidR="00362301" w:rsidRDefault="00362301"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00F60099" w:rsidRPr="00AF6243">
        <w:rPr>
          <w:rFonts w:eastAsia="Times New Roman"/>
          <w:color w:val="1B1C1D"/>
          <w:sz w:val="28"/>
          <w:szCs w:val="28"/>
          <w:lang w:eastAsia="en-GB"/>
        </w:rPr>
        <w:t>Một là</w:t>
      </w:r>
      <w:r w:rsidR="00F60099" w:rsidRPr="00F60099">
        <w:rPr>
          <w:rFonts w:eastAsia="Times New Roman"/>
          <w:i/>
          <w:iCs/>
          <w:color w:val="1B1C1D"/>
          <w:sz w:val="28"/>
          <w:szCs w:val="28"/>
          <w:lang w:eastAsia="en-GB"/>
        </w:rPr>
        <w:t>,</w:t>
      </w:r>
      <w:r w:rsidR="00F60099" w:rsidRPr="00F60099">
        <w:rPr>
          <w:rFonts w:eastAsia="Times New Roman"/>
          <w:color w:val="1B1C1D"/>
          <w:sz w:val="28"/>
          <w:szCs w:val="28"/>
          <w:lang w:eastAsia="en-GB"/>
        </w:rPr>
        <w:t xml:space="preserve"> </w:t>
      </w:r>
      <w:r w:rsidR="006C1809">
        <w:rPr>
          <w:rFonts w:eastAsia="Times New Roman"/>
          <w:color w:val="1B1C1D"/>
          <w:sz w:val="28"/>
          <w:szCs w:val="28"/>
          <w:lang w:eastAsia="en-GB"/>
        </w:rPr>
        <w:t>n</w:t>
      </w:r>
      <w:r w:rsidR="00F60099" w:rsidRPr="00F60099">
        <w:rPr>
          <w:rFonts w:eastAsia="Times New Roman"/>
          <w:color w:val="1B1C1D"/>
          <w:sz w:val="28"/>
          <w:szCs w:val="28"/>
          <w:lang w:eastAsia="en-GB"/>
        </w:rPr>
        <w:t xml:space="preserve">ghiên cứu có thể tổ chức các buổi làm việc chuyên sâu với các Doanh nghiệp, cơ quan quản lý nhà nước phía Trung Quốc, nơi đoàn Việt Nam trình bày một "bài toán" thực tế của địa phương mình và cùng các chuyên gia, nhà quản lý phía Trung Quốc thảo luận, tìm kiếm giải pháp cụ thể. </w:t>
      </w:r>
    </w:p>
    <w:p w14:paraId="312A4A57" w14:textId="492F2BD1" w:rsidR="00F60099" w:rsidRDefault="00362301"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00F60099" w:rsidRPr="00AF6243">
        <w:rPr>
          <w:rFonts w:eastAsia="Times New Roman"/>
          <w:color w:val="1B1C1D"/>
          <w:sz w:val="28"/>
          <w:szCs w:val="28"/>
          <w:lang w:eastAsia="en-GB"/>
        </w:rPr>
        <w:t>Hai là</w:t>
      </w:r>
      <w:r w:rsidR="00F60099" w:rsidRPr="00F60099">
        <w:rPr>
          <w:rFonts w:eastAsia="Times New Roman"/>
          <w:i/>
          <w:iCs/>
          <w:color w:val="1B1C1D"/>
          <w:sz w:val="28"/>
          <w:szCs w:val="28"/>
          <w:lang w:eastAsia="en-GB"/>
        </w:rPr>
        <w:t>,</w:t>
      </w:r>
      <w:r w:rsidR="00F60099" w:rsidRPr="00F60099">
        <w:rPr>
          <w:rFonts w:eastAsia="Times New Roman"/>
          <w:color w:val="1B1C1D"/>
          <w:sz w:val="28"/>
          <w:szCs w:val="28"/>
          <w:lang w:eastAsia="en-GB"/>
        </w:rPr>
        <w:t xml:space="preserve"> </w:t>
      </w:r>
      <w:r w:rsidR="006C1809">
        <w:rPr>
          <w:rFonts w:eastAsia="Times New Roman"/>
          <w:color w:val="1B1C1D"/>
          <w:sz w:val="28"/>
          <w:szCs w:val="28"/>
          <w:lang w:eastAsia="en-GB"/>
        </w:rPr>
        <w:t>ư</w:t>
      </w:r>
      <w:r w:rsidR="00F60099" w:rsidRPr="00F60099">
        <w:rPr>
          <w:rFonts w:eastAsia="Times New Roman"/>
          <w:color w:val="1B1C1D"/>
          <w:sz w:val="28"/>
          <w:szCs w:val="28"/>
          <w:lang w:eastAsia="en-GB"/>
        </w:rPr>
        <w:t>u tiên mời các chuyên gia, học giả Trung Quốc đã có công trình nghiên cứu về Việt Nam hoặc khu vực ASEAN. Sự am hiểu của họ về bối cảnh Việt Nam sẽ giúp các bài giảng và phiên thảo luận trở nên sâu sắc, thực chất và có tính ứng dụng cao hơn.</w:t>
      </w:r>
    </w:p>
    <w:p w14:paraId="63F18875" w14:textId="47646A84"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r w:rsidRPr="00F60099">
        <w:rPr>
          <w:rFonts w:eastAsia="Times New Roman"/>
          <w:color w:val="1B1C1D"/>
          <w:sz w:val="28"/>
          <w:szCs w:val="28"/>
          <w:lang w:eastAsia="en-GB"/>
        </w:rPr>
        <w:t>Một lần nữa, tôi xin chân thành cám ơn tới Ban Tổ chức và các giáo sư, tiến sỹ đã giảng dạy lớp nghiên cứu. Những kiến thức và kinh nghiệm thu nhận được từ khóa học sẽ là hành trang để tôi và các đồng chí trong đoàn công tác vận dụng vào thực tiễn công việc, góp phần xây dựng quê hương, đất nước Việt Nam ngày càng giàu đẹp, văn minh, tiếp tục đóng góp thiết thực vun đắp mối quan hệ đối tác hợp tác chiến lược toàn diện, thúc đẩy xây dựng Cộng đồng chia sẻ tương lai Việt Nam - Trung Quốc.</w:t>
      </w:r>
    </w:p>
    <w:p w14:paraId="7F6E6685" w14:textId="495FF2C7" w:rsidR="00F60099" w:rsidRDefault="00F60099" w:rsidP="00F60099">
      <w:pPr>
        <w:spacing w:before="120" w:after="120"/>
        <w:jc w:val="both"/>
        <w:rPr>
          <w:rFonts w:eastAsia="Times New Roman"/>
          <w:color w:val="1B1C1D"/>
          <w:sz w:val="28"/>
          <w:szCs w:val="28"/>
          <w:lang w:eastAsia="en-GB"/>
        </w:rPr>
      </w:pPr>
      <w:r>
        <w:rPr>
          <w:rFonts w:eastAsia="Times New Roman"/>
          <w:color w:val="1B1C1D"/>
          <w:sz w:val="28"/>
          <w:szCs w:val="28"/>
          <w:lang w:eastAsia="en-GB"/>
        </w:rPr>
        <w:tab/>
      </w:r>
    </w:p>
    <w:p w14:paraId="501C1C62" w14:textId="5579D347" w:rsidR="00F60099" w:rsidRPr="00F60099" w:rsidRDefault="00F60099" w:rsidP="00F60099">
      <w:pPr>
        <w:spacing w:before="120" w:after="120"/>
        <w:jc w:val="right"/>
        <w:rPr>
          <w:rFonts w:eastAsia="Times New Roman"/>
          <w:b/>
          <w:bCs/>
          <w:sz w:val="28"/>
          <w:szCs w:val="28"/>
          <w:lang w:eastAsia="en-GB"/>
        </w:rPr>
      </w:pPr>
      <w:r w:rsidRPr="00F60099">
        <w:rPr>
          <w:rFonts w:eastAsia="Times New Roman"/>
          <w:b/>
          <w:bCs/>
          <w:sz w:val="28"/>
          <w:szCs w:val="28"/>
          <w:lang w:eastAsia="en-GB"/>
        </w:rPr>
        <w:t>Hoàng Chí Hiền</w:t>
      </w:r>
    </w:p>
    <w:sectPr w:rsidR="00F60099" w:rsidRPr="00F60099" w:rsidSect="007D2F30">
      <w:pgSz w:w="11907" w:h="16839" w:code="9"/>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05D10"/>
    <w:multiLevelType w:val="multilevel"/>
    <w:tmpl w:val="D526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E1713"/>
    <w:multiLevelType w:val="multilevel"/>
    <w:tmpl w:val="E1EE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9342A"/>
    <w:multiLevelType w:val="multilevel"/>
    <w:tmpl w:val="FE4A2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0A7EC8"/>
    <w:multiLevelType w:val="multilevel"/>
    <w:tmpl w:val="148C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954FF8"/>
    <w:multiLevelType w:val="multilevel"/>
    <w:tmpl w:val="5B68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C1D76"/>
    <w:multiLevelType w:val="multilevel"/>
    <w:tmpl w:val="BF4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525E3"/>
    <w:multiLevelType w:val="multilevel"/>
    <w:tmpl w:val="52B42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F3603E"/>
    <w:multiLevelType w:val="multilevel"/>
    <w:tmpl w:val="1108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A11506"/>
    <w:multiLevelType w:val="multilevel"/>
    <w:tmpl w:val="8CDE8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6"/>
  </w:num>
  <w:num w:numId="5">
    <w:abstractNumId w:val="3"/>
  </w:num>
  <w:num w:numId="6">
    <w:abstractNumId w:val="8"/>
  </w:num>
  <w:num w:numId="7">
    <w:abstractNumId w:val="7"/>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652"/>
    <w:rsid w:val="001F1652"/>
    <w:rsid w:val="002C36BF"/>
    <w:rsid w:val="00334972"/>
    <w:rsid w:val="00362301"/>
    <w:rsid w:val="00376120"/>
    <w:rsid w:val="003A400B"/>
    <w:rsid w:val="004C2E25"/>
    <w:rsid w:val="0064275D"/>
    <w:rsid w:val="006C1809"/>
    <w:rsid w:val="007D2F30"/>
    <w:rsid w:val="00836FB4"/>
    <w:rsid w:val="009623B6"/>
    <w:rsid w:val="0096301D"/>
    <w:rsid w:val="00966450"/>
    <w:rsid w:val="00AF6243"/>
    <w:rsid w:val="00B355B4"/>
    <w:rsid w:val="00B44A0F"/>
    <w:rsid w:val="00C15627"/>
    <w:rsid w:val="00C523F6"/>
    <w:rsid w:val="00D01BFC"/>
    <w:rsid w:val="00D642FE"/>
    <w:rsid w:val="00ED245A"/>
    <w:rsid w:val="00F258CA"/>
    <w:rsid w:val="00F600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BC333"/>
  <w15:chartTrackingRefBased/>
  <w15:docId w15:val="{4BB41F57-FF9A-4B98-95B4-DA186D98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GB"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1F165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1F1652"/>
    <w:pPr>
      <w:spacing w:before="100" w:beforeAutospacing="1" w:after="100" w:afterAutospacing="1"/>
      <w:outlineLvl w:val="2"/>
    </w:pPr>
    <w:rPr>
      <w:rFonts w:eastAsia="Times New Roman"/>
      <w:b/>
      <w:bCs/>
      <w:sz w:val="27"/>
      <w:szCs w:val="27"/>
      <w:lang w:eastAsia="en-GB"/>
    </w:rPr>
  </w:style>
  <w:style w:type="paragraph" w:styleId="Heading4">
    <w:name w:val="heading 4"/>
    <w:basedOn w:val="Normal"/>
    <w:link w:val="Heading4Char"/>
    <w:uiPriority w:val="9"/>
    <w:qFormat/>
    <w:rsid w:val="001F1652"/>
    <w:pPr>
      <w:spacing w:before="100" w:beforeAutospacing="1" w:after="100" w:afterAutospacing="1"/>
      <w:outlineLvl w:val="3"/>
    </w:pPr>
    <w:rPr>
      <w:rFonts w:eastAsia="Times New Roman"/>
      <w:b/>
      <w:b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F1652"/>
    <w:rPr>
      <w:rFonts w:eastAsia="Times New Roman"/>
      <w:b/>
      <w:bCs/>
      <w:sz w:val="27"/>
      <w:szCs w:val="27"/>
      <w:lang w:eastAsia="en-GB"/>
    </w:rPr>
  </w:style>
  <w:style w:type="character" w:customStyle="1" w:styleId="Heading4Char">
    <w:name w:val="Heading 4 Char"/>
    <w:basedOn w:val="DefaultParagraphFont"/>
    <w:link w:val="Heading4"/>
    <w:uiPriority w:val="9"/>
    <w:rsid w:val="001F1652"/>
    <w:rPr>
      <w:rFonts w:eastAsia="Times New Roman"/>
      <w:b/>
      <w:bCs/>
      <w:lang w:eastAsia="en-GB"/>
    </w:rPr>
  </w:style>
  <w:style w:type="paragraph" w:styleId="NormalWeb">
    <w:name w:val="Normal (Web)"/>
    <w:basedOn w:val="Normal"/>
    <w:uiPriority w:val="99"/>
    <w:semiHidden/>
    <w:unhideWhenUsed/>
    <w:rsid w:val="001F1652"/>
    <w:pPr>
      <w:spacing w:before="100" w:beforeAutospacing="1" w:after="100" w:afterAutospacing="1"/>
    </w:pPr>
    <w:rPr>
      <w:rFonts w:eastAsia="Times New Roman"/>
      <w:lang w:eastAsia="en-GB"/>
    </w:rPr>
  </w:style>
  <w:style w:type="character" w:styleId="Hyperlink">
    <w:name w:val="Hyperlink"/>
    <w:basedOn w:val="DefaultParagraphFont"/>
    <w:uiPriority w:val="99"/>
    <w:semiHidden/>
    <w:unhideWhenUsed/>
    <w:rsid w:val="001F1652"/>
    <w:rPr>
      <w:color w:val="0000FF"/>
      <w:u w:val="single"/>
    </w:rPr>
  </w:style>
  <w:style w:type="character" w:customStyle="1" w:styleId="Heading1Char">
    <w:name w:val="Heading 1 Char"/>
    <w:basedOn w:val="DefaultParagraphFont"/>
    <w:link w:val="Heading1"/>
    <w:uiPriority w:val="9"/>
    <w:rsid w:val="001F165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6460158">
      <w:bodyDiv w:val="1"/>
      <w:marLeft w:val="0"/>
      <w:marRight w:val="0"/>
      <w:marTop w:val="0"/>
      <w:marBottom w:val="0"/>
      <w:divBdr>
        <w:top w:val="none" w:sz="0" w:space="0" w:color="auto"/>
        <w:left w:val="none" w:sz="0" w:space="0" w:color="auto"/>
        <w:bottom w:val="none" w:sz="0" w:space="0" w:color="auto"/>
        <w:right w:val="none" w:sz="0" w:space="0" w:color="auto"/>
      </w:divBdr>
    </w:div>
    <w:div w:id="1744066185">
      <w:bodyDiv w:val="1"/>
      <w:marLeft w:val="0"/>
      <w:marRight w:val="0"/>
      <w:marTop w:val="0"/>
      <w:marBottom w:val="0"/>
      <w:divBdr>
        <w:top w:val="none" w:sz="0" w:space="0" w:color="auto"/>
        <w:left w:val="none" w:sz="0" w:space="0" w:color="auto"/>
        <w:bottom w:val="none" w:sz="0" w:space="0" w:color="auto"/>
        <w:right w:val="none" w:sz="0" w:space="0" w:color="auto"/>
      </w:divBdr>
    </w:div>
    <w:div w:id="2012223303">
      <w:bodyDiv w:val="1"/>
      <w:marLeft w:val="0"/>
      <w:marRight w:val="0"/>
      <w:marTop w:val="0"/>
      <w:marBottom w:val="0"/>
      <w:divBdr>
        <w:top w:val="none" w:sz="0" w:space="0" w:color="auto"/>
        <w:left w:val="none" w:sz="0" w:space="0" w:color="auto"/>
        <w:bottom w:val="none" w:sz="0" w:space="0" w:color="auto"/>
        <w:right w:val="none" w:sz="0" w:space="0" w:color="auto"/>
      </w:divBdr>
    </w:div>
    <w:div w:id="2127190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1532</Words>
  <Characters>8739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Scott</dc:creator>
  <cp:keywords/>
  <dc:description/>
  <cp:lastModifiedBy>John Scott</cp:lastModifiedBy>
  <cp:revision>6</cp:revision>
  <dcterms:created xsi:type="dcterms:W3CDTF">2025-11-02T13:41:00Z</dcterms:created>
  <dcterms:modified xsi:type="dcterms:W3CDTF">2025-11-03T01:34:00Z</dcterms:modified>
</cp:coreProperties>
</file>