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40" w:lineRule="auto"/>
        <w:ind w:firstLine="567"/>
        <w:jc w:val="center"/>
      </w:pPr>
      <w:r>
        <w:rPr>
          <w:rFonts w:ascii="Times New Roman" w:hAnsi="Times New Roman"/>
          <w:b/>
          <w:i w:val="0"/>
          <w:color w:val="000000"/>
          <w:sz w:val="28"/>
        </w:rPr>
        <w:t>PHÂN TÍCH, SO SÁNH BỘ TIÊU CHÍ ĐÁNH GIÁ LỰA CHỌN CHỦ ĐẦU TƯ XÂY DỰNG HẠ TẦNG KỸ THUẬT CỤM CÔNG NGHIỆP</w:t>
      </w:r>
    </w:p>
    <w:p>
      <w:pPr>
        <w:spacing w:before="120" w:after="120" w:line="240" w:lineRule="auto"/>
        <w:ind w:firstLine="567"/>
        <w:jc w:val="center"/>
      </w:pPr>
      <w:r>
        <w:rPr>
          <w:rFonts w:ascii="Times New Roman" w:hAnsi="Times New Roman"/>
          <w:b w:val="0"/>
          <w:i/>
          <w:color w:val="000000"/>
          <w:sz w:val="26"/>
        </w:rPr>
        <w:t>(Dự thảo Bộ tiêu chí xây dựng lại ngày 18/8/2026 so với Bộ tiêu chí đã ban hành cho cụm công nghiệp Tân Nguyên, xã Bảo Ái, tỉnh Lào Cai)</w:t>
      </w:r>
    </w:p>
    <w:p>
      <w:pPr>
        <w:spacing w:before="120" w:after="120" w:line="240" w:lineRule="auto"/>
        <w:ind w:firstLine="567"/>
        <w:jc w:val="both"/>
      </w:pPr>
      <w:r>
        <w:rPr>
          <w:rFonts w:ascii="Times New Roman" w:hAnsi="Times New Roman"/>
          <w:b/>
          <w:i w:val="0"/>
          <w:color w:val="000000"/>
          <w:sz w:val="28"/>
        </w:rPr>
        <w:t>I. NHẬN ĐỊNH CHUNG</w:t>
      </w:r>
    </w:p>
    <w:p>
      <w:pPr>
        <w:spacing w:before="120" w:after="120" w:line="240" w:lineRule="auto"/>
        <w:ind w:firstLine="567"/>
        <w:jc w:val="both"/>
      </w:pPr>
      <w:r>
        <w:rPr>
          <w:rFonts w:ascii="Times New Roman" w:hAnsi="Times New Roman"/>
          <w:b w:val="0"/>
          <w:i w:val="0"/>
          <w:color w:val="000000"/>
          <w:sz w:val="28"/>
        </w:rPr>
        <w:t>Bộ tiêu chí xây dựng lại khó hơn đáng kể ở điều kiện đầu vào và ở khối lượng hồ sơ phải lập, nhưng dễ hơn ở tiêu chí vốn chủ sở hữu. Đối với nhà đầu tư đã từng làm chủ đầu tư hạ tầng khu công nghiệp, cụm công nghiệp thì mức độ khó tương đương; đối với doanh nghiệp địa phương chưa từng thực hiện dự án cụm công nghiệp, đúng nhóm ứng viên thực tế của cụm công nghiệp Tân Nguyên, thì khó hơn nhiều.</w:t>
      </w:r>
    </w:p>
    <w:p>
      <w:pPr>
        <w:spacing w:before="120" w:after="120" w:line="240" w:lineRule="auto"/>
        <w:ind w:firstLine="567"/>
        <w:jc w:val="both"/>
      </w:pPr>
      <w:r>
        <w:rPr>
          <w:rFonts w:ascii="Times New Roman" w:hAnsi="Times New Roman"/>
          <w:b w:val="0"/>
          <w:i w:val="0"/>
          <w:color w:val="000000"/>
          <w:sz w:val="28"/>
        </w:rPr>
        <w:t>Khung ngoài của hai bộ tiêu chí là giống hệt nhau: thang điểm 100, chia thành 04 nhóm với trọng số 30 - 40 - 15 - 15. Tuy nhiên toàn bộ nội dung bên trong từng nhóm đã được thay đổi căn bản.</w:t>
      </w:r>
    </w:p>
    <w:p>
      <w:pPr>
        <w:spacing w:before="120" w:after="120" w:line="240" w:lineRule="auto"/>
        <w:ind w:firstLine="567"/>
        <w:jc w:val="both"/>
      </w:pPr>
      <w:r>
        <w:rPr>
          <w:rFonts w:ascii="Times New Roman" w:hAnsi="Times New Roman"/>
          <w:b/>
          <w:i w:val="0"/>
          <w:color w:val="000000"/>
          <w:sz w:val="28"/>
        </w:rPr>
        <w:t>II. ĐIỀU KIỆN TIÊN QUYẾT LOẠI HỒ SƠ: TỪ 04 LÊN 05 ĐIỀU KIỆN, SIẾT CHẶT HƠN</w:t>
      </w:r>
    </w:p>
    <w:tbl>
      <w:tblPr>
        <w:tblStyle w:val="TableGrid"/>
        <w:tblW w:type="auto" w:w="0"/>
        <w:jc w:val="center"/>
        <w:tblLayout w:type="fixed"/>
        <w:tblLook w:firstColumn="1" w:firstRow="1" w:lastColumn="0" w:lastRow="0" w:noHBand="0" w:noVBand="1" w:val="04A0"/>
      </w:tblPr>
      <w:tblGrid>
        <w:gridCol w:w="4535"/>
        <w:gridCol w:w="4535"/>
      </w:tblGrid>
      <w:tr>
        <w:tc>
          <w:tcPr>
            <w:tcW w:type="dxa" w:w="4309"/>
          </w:tcPr>
          <w:p>
            <w:pPr>
              <w:spacing w:before="40" w:after="40" w:line="240" w:lineRule="auto"/>
              <w:ind w:firstLine="0"/>
              <w:jc w:val="center"/>
            </w:pPr>
            <w:r/>
            <w:r>
              <w:rPr>
                <w:rFonts w:ascii="Times New Roman" w:hAnsi="Times New Roman"/>
                <w:b/>
                <w:i w:val="0"/>
                <w:color w:val="000000"/>
                <w:sz w:val="24"/>
              </w:rPr>
              <w:t>Bộ tiêu chí Tân Nguyên (đã ban hành)</w:t>
            </w:r>
          </w:p>
        </w:tc>
        <w:tc>
          <w:tcPr>
            <w:tcW w:type="dxa" w:w="4762"/>
          </w:tcPr>
          <w:p>
            <w:pPr>
              <w:spacing w:before="40" w:after="40" w:line="240" w:lineRule="auto"/>
              <w:ind w:firstLine="0"/>
              <w:jc w:val="center"/>
            </w:pPr>
            <w:r/>
            <w:r>
              <w:rPr>
                <w:rFonts w:ascii="Times New Roman" w:hAnsi="Times New Roman"/>
                <w:b/>
                <w:i w:val="0"/>
                <w:color w:val="000000"/>
                <w:sz w:val="24"/>
              </w:rPr>
              <w:t>Bộ tiêu chí xây dựng lại 18/8/2026</w:t>
            </w:r>
          </w:p>
        </w:tc>
      </w:tr>
      <w:tr>
        <w:tc>
          <w:tcPr>
            <w:tcW w:type="dxa" w:w="4309"/>
          </w:tcPr>
          <w:p>
            <w:pPr>
              <w:spacing w:before="40" w:after="40" w:line="240" w:lineRule="auto"/>
              <w:ind w:firstLine="0"/>
              <w:jc w:val="left"/>
            </w:pPr>
            <w:r/>
            <w:r>
              <w:rPr>
                <w:rFonts w:ascii="Times New Roman" w:hAnsi="Times New Roman"/>
                <w:b w:val="0"/>
                <w:i w:val="0"/>
                <w:color w:val="000000"/>
                <w:sz w:val="24"/>
              </w:rPr>
              <w:t>Ngành nghề đăng ký kinh doanh phù hợp để đầu tư xây dựng, quản lý, khai thác hạ tầng kỹ thuật cụm công nghiệp</w:t>
            </w:r>
          </w:p>
        </w:tc>
        <w:tc>
          <w:tcPr>
            <w:tcW w:type="dxa" w:w="4762"/>
          </w:tcPr>
          <w:p>
            <w:pPr>
              <w:spacing w:before="40" w:after="40" w:line="240" w:lineRule="auto"/>
              <w:ind w:firstLine="0"/>
              <w:jc w:val="left"/>
            </w:pPr>
            <w:r/>
            <w:r>
              <w:rPr>
                <w:rFonts w:ascii="Times New Roman" w:hAnsi="Times New Roman"/>
                <w:b w:val="0"/>
                <w:i w:val="0"/>
                <w:color w:val="000000"/>
                <w:sz w:val="24"/>
              </w:rPr>
              <w:t>Bắt buộc có ngành, nghề kinh doanh bất động sản</w:t>
            </w:r>
          </w:p>
        </w:tc>
      </w:tr>
      <w:tr>
        <w:tc>
          <w:tcPr>
            <w:tcW w:type="dxa" w:w="4309"/>
          </w:tcPr>
          <w:p>
            <w:pPr>
              <w:spacing w:before="40" w:after="40" w:line="240" w:lineRule="auto"/>
              <w:ind w:firstLine="0"/>
              <w:jc w:val="left"/>
            </w:pPr>
            <w:r/>
            <w:r>
              <w:rPr>
                <w:rFonts w:ascii="Times New Roman" w:hAnsi="Times New Roman"/>
                <w:b w:val="0"/>
                <w:i w:val="0"/>
                <w:color w:val="000000"/>
                <w:sz w:val="24"/>
              </w:rPr>
              <w:t>Hạch toán tài chính độc lập</w:t>
            </w:r>
          </w:p>
        </w:tc>
        <w:tc>
          <w:tcPr>
            <w:tcW w:type="dxa" w:w="4762"/>
          </w:tcPr>
          <w:p>
            <w:pPr>
              <w:spacing w:before="40" w:after="40" w:line="240" w:lineRule="auto"/>
              <w:ind w:firstLine="0"/>
              <w:jc w:val="left"/>
            </w:pPr>
            <w:r/>
            <w:r>
              <w:rPr>
                <w:rFonts w:ascii="Times New Roman" w:hAnsi="Times New Roman"/>
                <w:b w:val="0"/>
                <w:i w:val="0"/>
                <w:color w:val="000000"/>
                <w:sz w:val="24"/>
              </w:rPr>
              <w:t>Bỏ điều kiện này</w:t>
            </w:r>
          </w:p>
        </w:tc>
      </w:tr>
      <w:tr>
        <w:tc>
          <w:tcPr>
            <w:tcW w:type="dxa" w:w="4309"/>
          </w:tcPr>
          <w:p>
            <w:pPr>
              <w:spacing w:before="40" w:after="40" w:line="240" w:lineRule="auto"/>
              <w:ind w:firstLine="0"/>
              <w:jc w:val="left"/>
            </w:pPr>
            <w:r/>
            <w:r>
              <w:rPr>
                <w:rFonts w:ascii="Times New Roman" w:hAnsi="Times New Roman"/>
                <w:b w:val="0"/>
                <w:i w:val="0"/>
                <w:color w:val="000000"/>
                <w:sz w:val="24"/>
              </w:rPr>
              <w:t>Không đang trong quá trình giải thể</w:t>
            </w:r>
          </w:p>
        </w:tc>
        <w:tc>
          <w:tcPr>
            <w:tcW w:type="dxa" w:w="4762"/>
          </w:tcPr>
          <w:p>
            <w:pPr>
              <w:spacing w:before="40" w:after="40" w:line="240" w:lineRule="auto"/>
              <w:ind w:firstLine="0"/>
              <w:jc w:val="left"/>
            </w:pPr>
            <w:r/>
            <w:r>
              <w:rPr>
                <w:rFonts w:ascii="Times New Roman" w:hAnsi="Times New Roman"/>
                <w:b w:val="0"/>
                <w:i w:val="0"/>
                <w:color w:val="000000"/>
                <w:sz w:val="24"/>
              </w:rPr>
              <w:t>Không giải thể, đồng thời không bị thu hồi Giấy chứng nhận đăng ký doanh nghiệp và không đang bị truy cứu trách nhiệm hình sự</w:t>
            </w:r>
          </w:p>
        </w:tc>
      </w:tr>
      <w:tr>
        <w:tc>
          <w:tcPr>
            <w:tcW w:type="dxa" w:w="4309"/>
          </w:tcPr>
          <w:p>
            <w:pPr>
              <w:spacing w:before="40" w:after="40" w:line="240" w:lineRule="auto"/>
              <w:ind w:firstLine="0"/>
              <w:jc w:val="left"/>
            </w:pPr>
            <w:r/>
            <w:r>
              <w:rPr>
                <w:rFonts w:ascii="Times New Roman" w:hAnsi="Times New Roman"/>
                <w:b w:val="0"/>
                <w:i w:val="0"/>
                <w:color w:val="000000"/>
                <w:sz w:val="24"/>
              </w:rPr>
              <w:t>Không vi phạm pháp luật về đất đai</w:t>
            </w:r>
          </w:p>
        </w:tc>
        <w:tc>
          <w:tcPr>
            <w:tcW w:type="dxa" w:w="4762"/>
          </w:tcPr>
          <w:p>
            <w:pPr>
              <w:spacing w:before="40" w:after="40" w:line="240" w:lineRule="auto"/>
              <w:ind w:firstLine="0"/>
              <w:jc w:val="left"/>
            </w:pPr>
            <w:r/>
            <w:r>
              <w:rPr>
                <w:rFonts w:ascii="Times New Roman" w:hAnsi="Times New Roman"/>
                <w:b w:val="0"/>
                <w:i w:val="0"/>
                <w:color w:val="000000"/>
                <w:sz w:val="24"/>
              </w:rPr>
              <w:t>Giữ nguyên</w:t>
            </w:r>
          </w:p>
        </w:tc>
      </w:tr>
      <w:tr>
        <w:tc>
          <w:tcPr>
            <w:tcW w:type="dxa" w:w="4309"/>
          </w:tcPr>
          <w:p>
            <w:pPr>
              <w:spacing w:before="40" w:after="40" w:line="240" w:lineRule="auto"/>
              <w:ind w:firstLine="0"/>
              <w:jc w:val="left"/>
            </w:pPr>
            <w:r/>
            <w:r>
              <w:rPr>
                <w:rFonts w:ascii="Times New Roman" w:hAnsi="Times New Roman"/>
                <w:b w:val="0"/>
                <w:i w:val="0"/>
                <w:color w:val="000000"/>
                <w:sz w:val="24"/>
              </w:rPr>
              <w:t>Không quy định</w:t>
            </w:r>
          </w:p>
        </w:tc>
        <w:tc>
          <w:tcPr>
            <w:tcW w:type="dxa" w:w="4762"/>
          </w:tcPr>
          <w:p>
            <w:pPr>
              <w:spacing w:before="40" w:after="40" w:line="240" w:lineRule="auto"/>
              <w:ind w:firstLine="0"/>
              <w:jc w:val="left"/>
            </w:pPr>
            <w:r/>
            <w:r>
              <w:rPr>
                <w:rFonts w:ascii="Times New Roman" w:hAnsi="Times New Roman"/>
                <w:b w:val="0"/>
                <w:i w:val="0"/>
                <w:color w:val="000000"/>
                <w:sz w:val="24"/>
              </w:rPr>
              <w:t>Không trong thời gian bị cấm kinh doanh bất động sản, bị tạm ngừng, bị đình chỉ hoạt động</w:t>
            </w:r>
          </w:p>
        </w:tc>
      </w:tr>
      <w:tr>
        <w:tc>
          <w:tcPr>
            <w:tcW w:type="dxa" w:w="4309"/>
          </w:tcPr>
          <w:p>
            <w:pPr>
              <w:spacing w:before="40" w:after="40" w:line="240" w:lineRule="auto"/>
              <w:ind w:firstLine="0"/>
              <w:jc w:val="left"/>
            </w:pPr>
            <w:r/>
            <w:r>
              <w:rPr>
                <w:rFonts w:ascii="Times New Roman" w:hAnsi="Times New Roman"/>
                <w:b w:val="0"/>
                <w:i w:val="0"/>
                <w:color w:val="000000"/>
                <w:sz w:val="24"/>
              </w:rPr>
              <w:t>Vốn chủ sở hữu là tiêu chí chấm điểm, chỉ loại hồ sơ khi thấp hơn 15% tổng mức đầu tư</w:t>
            </w:r>
          </w:p>
        </w:tc>
        <w:tc>
          <w:tcPr>
            <w:tcW w:type="dxa" w:w="4762"/>
          </w:tcPr>
          <w:p>
            <w:pPr>
              <w:spacing w:before="40" w:after="40" w:line="240" w:lineRule="auto"/>
              <w:ind w:firstLine="0"/>
              <w:jc w:val="left"/>
            </w:pPr>
            <w:r/>
            <w:r>
              <w:rPr>
                <w:rFonts w:ascii="Times New Roman" w:hAnsi="Times New Roman"/>
                <w:b w:val="0"/>
                <w:i w:val="0"/>
                <w:color w:val="000000"/>
                <w:sz w:val="24"/>
              </w:rPr>
              <w:t>Vốn chủ sở hữu trở thành điều kiện tiên quyết: không thấp hơn 20% đối với dự án dưới 20 ha, không thấp hơn 15% đối với dự án từ 20 ha trở lên</w:t>
            </w:r>
          </w:p>
        </w:tc>
      </w:tr>
    </w:tbl>
    <w:p>
      <w:pPr>
        <w:spacing w:after="0"/>
      </w:pPr>
    </w:p>
    <w:p>
      <w:pPr>
        <w:spacing w:before="120" w:after="120" w:line="240" w:lineRule="auto"/>
        <w:ind w:firstLine="567"/>
        <w:jc w:val="both"/>
      </w:pPr>
      <w:r>
        <w:rPr>
          <w:rFonts w:ascii="Times New Roman" w:hAnsi="Times New Roman"/>
          <w:b w:val="0"/>
          <w:i w:val="0"/>
          <w:color w:val="000000"/>
          <w:sz w:val="28"/>
        </w:rPr>
        <w:t>Điểm cần lưu ý nhất là yêu cầu về ngành, nghề kinh doanh bất động sản. Đây là điều kiện loại hồ sơ hoàn toàn mới. Nhiều doanh nghiệp xây lắp địa phương không đăng ký ngành nghề này sẽ bị loại ngay từ vòng đầu dù năng lực thực tế đáp ứng. Nội dung này khắc phục được bằng việc bổ sung ngành nghề đăng ký kinh doanh, nhưng cần thông tin trước cho nhà đầu tư, không để đến khi mở hồ sơ mới phát hiện.</w:t>
      </w:r>
    </w:p>
    <w:p>
      <w:pPr>
        <w:spacing w:before="120" w:after="120" w:line="240" w:lineRule="auto"/>
        <w:ind w:firstLine="567"/>
        <w:jc w:val="both"/>
      </w:pPr>
      <w:r>
        <w:rPr>
          <w:rFonts w:ascii="Times New Roman" w:hAnsi="Times New Roman"/>
          <w:b w:val="0"/>
          <w:i w:val="0"/>
          <w:color w:val="000000"/>
          <w:sz w:val="28"/>
        </w:rPr>
        <w:t>Đồng thời cần xác định rõ quy mô diện tích cụm công nghiệp Tân Nguyên để làm cơ sở áp tỷ lệ 15% hay 20%. Bộ tiêu chí đã ban hành chỉ xây dựng thang điểm cho dự án có quy mô sử dụng đất từ 20 ha trở lên; nếu dự án dưới 20 ha thì bộ cũ khuyết quy định, còn bộ mới nâng ngưỡng vốn chủ sở hữu lên 20%.</w:t>
      </w:r>
    </w:p>
    <w:p>
      <w:pPr>
        <w:spacing w:before="120" w:after="120" w:line="240" w:lineRule="auto"/>
        <w:ind w:firstLine="567"/>
        <w:jc w:val="both"/>
      </w:pPr>
      <w:r>
        <w:rPr>
          <w:rFonts w:ascii="Times New Roman" w:hAnsi="Times New Roman"/>
          <w:b/>
          <w:i w:val="0"/>
          <w:color w:val="000000"/>
          <w:sz w:val="28"/>
        </w:rPr>
        <w:t>III. NHÓM I - NĂNG LỰC, KINH NGHIỆM: ĐÂY LÀ NỘI DUNG KHÓ HƠN RÕ RỆT NHẤT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41"/>
          </w:tcPr>
          <w:p>
            <w:pPr>
              <w:spacing w:before="40" w:after="40" w:line="240" w:lineRule="auto"/>
              <w:ind w:firstLine="0"/>
              <w:jc w:val="center"/>
            </w:pPr>
            <w:r/>
            <w:r>
              <w:rPr>
                <w:rFonts w:ascii="Times New Roman" w:hAnsi="Times New Roman"/>
                <w:b/>
                <w:i w:val="0"/>
                <w:color w:val="000000"/>
                <w:sz w:val="24"/>
              </w:rPr>
              <w:t>Nội dung</w:t>
            </w:r>
          </w:p>
        </w:tc>
        <w:tc>
          <w:tcPr>
            <w:tcW w:type="dxa" w:w="3515"/>
          </w:tcPr>
          <w:p>
            <w:pPr>
              <w:spacing w:before="40" w:after="40" w:line="240" w:lineRule="auto"/>
              <w:ind w:firstLine="0"/>
              <w:jc w:val="center"/>
            </w:pPr>
            <w:r/>
            <w:r>
              <w:rPr>
                <w:rFonts w:ascii="Times New Roman" w:hAnsi="Times New Roman"/>
                <w:b/>
                <w:i w:val="0"/>
                <w:color w:val="000000"/>
                <w:sz w:val="24"/>
              </w:rPr>
              <w:t>Bộ tiêu chí Tân Nguyên</w:t>
            </w:r>
          </w:p>
        </w:tc>
        <w:tc>
          <w:tcPr>
            <w:tcW w:type="dxa" w:w="3515"/>
          </w:tcPr>
          <w:p>
            <w:pPr>
              <w:spacing w:before="40" w:after="40" w:line="240" w:lineRule="auto"/>
              <w:ind w:firstLine="0"/>
              <w:jc w:val="center"/>
            </w:pPr>
            <w:r/>
            <w:r>
              <w:rPr>
                <w:rFonts w:ascii="Times New Roman" w:hAnsi="Times New Roman"/>
                <w:b/>
                <w:i w:val="0"/>
                <w:color w:val="000000"/>
                <w:sz w:val="24"/>
              </w:rPr>
              <w:t>Bộ tiêu chí xây dựng lại</w:t>
            </w:r>
          </w:p>
        </w:tc>
      </w:tr>
      <w:tr>
        <w:tc>
          <w:tcPr>
            <w:tcW w:type="dxa" w:w="2041"/>
          </w:tcPr>
          <w:p>
            <w:pPr>
              <w:spacing w:before="40" w:after="40" w:line="240" w:lineRule="auto"/>
              <w:ind w:firstLine="0"/>
              <w:jc w:val="left"/>
            </w:pPr>
            <w:r/>
            <w:r>
              <w:rPr>
                <w:rFonts w:ascii="Times New Roman" w:hAnsi="Times New Roman"/>
                <w:b w:val="0"/>
                <w:i w:val="0"/>
                <w:color w:val="000000"/>
                <w:sz w:val="24"/>
              </w:rPr>
              <w:t>Kinh nghiệm dự án</w:t>
            </w:r>
          </w:p>
        </w:tc>
        <w:tc>
          <w:tcPr>
            <w:tcW w:type="dxa" w:w="3515"/>
          </w:tcPr>
          <w:p>
            <w:pPr>
              <w:spacing w:before="40" w:after="40" w:line="240" w:lineRule="auto"/>
              <w:ind w:firstLine="0"/>
              <w:jc w:val="left"/>
            </w:pPr>
            <w:r/>
            <w:r>
              <w:rPr>
                <w:rFonts w:ascii="Times New Roman" w:hAnsi="Times New Roman"/>
                <w:b w:val="0"/>
                <w:i w:val="0"/>
                <w:color w:val="000000"/>
                <w:sz w:val="24"/>
              </w:rPr>
              <w:t>15 điểm, chấp nhận 04 loại dự án, trong đó dự án loại 4 chỉ cần là công trình xây dựng, giao thông, thủy lợi trong và ngoài hàng rào khu, cụm công nghiệp</w:t>
            </w:r>
          </w:p>
        </w:tc>
        <w:tc>
          <w:tcPr>
            <w:tcW w:type="dxa" w:w="3515"/>
          </w:tcPr>
          <w:p>
            <w:pPr>
              <w:spacing w:before="40" w:after="40" w:line="240" w:lineRule="auto"/>
              <w:ind w:firstLine="0"/>
              <w:jc w:val="left"/>
            </w:pPr>
            <w:r/>
            <w:r>
              <w:rPr>
                <w:rFonts w:ascii="Times New Roman" w:hAnsi="Times New Roman"/>
                <w:b w:val="0"/>
                <w:i w:val="0"/>
                <w:color w:val="000000"/>
                <w:sz w:val="24"/>
              </w:rPr>
              <w:t>10 điểm, bắt buộc phải là dự án khu công nghiệp, cụm công nghiệp; nhà thầu xây lắp còn phải đạt giá trị hợp đồng tối thiểu</w:t>
            </w:r>
          </w:p>
        </w:tc>
      </w:tr>
      <w:tr>
        <w:tc>
          <w:tcPr>
            <w:tcW w:type="dxa" w:w="2041"/>
          </w:tcPr>
          <w:p>
            <w:pPr>
              <w:spacing w:before="40" w:after="40" w:line="240" w:lineRule="auto"/>
              <w:ind w:firstLine="0"/>
              <w:jc w:val="left"/>
            </w:pPr>
            <w:r/>
            <w:r>
              <w:rPr>
                <w:rFonts w:ascii="Times New Roman" w:hAnsi="Times New Roman"/>
                <w:b w:val="0"/>
                <w:i w:val="0"/>
                <w:color w:val="000000"/>
                <w:sz w:val="24"/>
              </w:rPr>
              <w:t>Nhân sự quản lý, kỹ thuật (từ 03 người trở lên)</w:t>
            </w:r>
          </w:p>
        </w:tc>
        <w:tc>
          <w:tcPr>
            <w:tcW w:type="dxa" w:w="3515"/>
          </w:tcPr>
          <w:p>
            <w:pPr>
              <w:spacing w:before="40" w:after="40" w:line="240" w:lineRule="auto"/>
              <w:ind w:firstLine="0"/>
              <w:jc w:val="left"/>
            </w:pPr>
            <w:r/>
            <w:r>
              <w:rPr>
                <w:rFonts w:ascii="Times New Roman" w:hAnsi="Times New Roman"/>
                <w:b w:val="0"/>
                <w:i w:val="0"/>
                <w:color w:val="000000"/>
                <w:sz w:val="24"/>
              </w:rPr>
              <w:t>15 điểm</w:t>
            </w:r>
          </w:p>
        </w:tc>
        <w:tc>
          <w:tcPr>
            <w:tcW w:type="dxa" w:w="3515"/>
          </w:tcPr>
          <w:p>
            <w:pPr>
              <w:spacing w:before="40" w:after="40" w:line="240" w:lineRule="auto"/>
              <w:ind w:firstLine="0"/>
              <w:jc w:val="left"/>
            </w:pPr>
            <w:r/>
            <w:r>
              <w:rPr>
                <w:rFonts w:ascii="Times New Roman" w:hAnsi="Times New Roman"/>
                <w:b w:val="0"/>
                <w:i w:val="0"/>
                <w:color w:val="000000"/>
                <w:sz w:val="24"/>
              </w:rPr>
              <w:t>Bỏ hoàn toàn</w:t>
            </w:r>
          </w:p>
        </w:tc>
      </w:tr>
      <w:tr>
        <w:tc>
          <w:tcPr>
            <w:tcW w:type="dxa" w:w="2041"/>
          </w:tcPr>
          <w:p>
            <w:pPr>
              <w:spacing w:before="40" w:after="40" w:line="240" w:lineRule="auto"/>
              <w:ind w:firstLine="0"/>
              <w:jc w:val="left"/>
            </w:pPr>
            <w:r/>
            <w:r>
              <w:rPr>
                <w:rFonts w:ascii="Times New Roman" w:hAnsi="Times New Roman"/>
                <w:b w:val="0"/>
                <w:i w:val="0"/>
                <w:color w:val="000000"/>
                <w:sz w:val="24"/>
              </w:rPr>
              <w:t>Kinh nghiệm thu hút đầu tư</w:t>
            </w:r>
          </w:p>
        </w:tc>
        <w:tc>
          <w:tcPr>
            <w:tcW w:type="dxa" w:w="3515"/>
          </w:tcPr>
          <w:p>
            <w:pPr>
              <w:spacing w:before="40" w:after="40" w:line="240" w:lineRule="auto"/>
              <w:ind w:firstLine="0"/>
              <w:jc w:val="left"/>
            </w:pPr>
            <w:r/>
            <w:r>
              <w:rPr>
                <w:rFonts w:ascii="Times New Roman" w:hAnsi="Times New Roman"/>
                <w:b w:val="0"/>
                <w:i w:val="0"/>
                <w:color w:val="000000"/>
                <w:sz w:val="24"/>
              </w:rPr>
              <w:t>Không quy định</w:t>
            </w:r>
          </w:p>
        </w:tc>
        <w:tc>
          <w:tcPr>
            <w:tcW w:type="dxa" w:w="3515"/>
          </w:tcPr>
          <w:p>
            <w:pPr>
              <w:spacing w:before="40" w:after="40" w:line="240" w:lineRule="auto"/>
              <w:ind w:firstLine="0"/>
              <w:jc w:val="left"/>
            </w:pPr>
            <w:r/>
            <w:r>
              <w:rPr>
                <w:rFonts w:ascii="Times New Roman" w:hAnsi="Times New Roman"/>
                <w:b w:val="0"/>
                <w:i w:val="0"/>
                <w:color w:val="000000"/>
                <w:sz w:val="24"/>
              </w:rPr>
              <w:t>05 điểm, tiêu chí mới</w:t>
            </w:r>
          </w:p>
        </w:tc>
      </w:tr>
      <w:tr>
        <w:tc>
          <w:tcPr>
            <w:tcW w:type="dxa" w:w="2041"/>
          </w:tcPr>
          <w:p>
            <w:pPr>
              <w:spacing w:before="40" w:after="40" w:line="240" w:lineRule="auto"/>
              <w:ind w:firstLine="0"/>
              <w:jc w:val="left"/>
            </w:pPr>
            <w:r/>
            <w:r>
              <w:rPr>
                <w:rFonts w:ascii="Times New Roman" w:hAnsi="Times New Roman"/>
                <w:b w:val="0"/>
                <w:i w:val="0"/>
                <w:color w:val="000000"/>
                <w:sz w:val="24"/>
              </w:rPr>
              <w:t>Năng lực tài chính thực hiện dự án</w:t>
            </w:r>
          </w:p>
        </w:tc>
        <w:tc>
          <w:tcPr>
            <w:tcW w:type="dxa" w:w="3515"/>
          </w:tcPr>
          <w:p>
            <w:pPr>
              <w:spacing w:before="40" w:after="40" w:line="240" w:lineRule="auto"/>
              <w:ind w:firstLine="0"/>
              <w:jc w:val="left"/>
            </w:pPr>
            <w:r/>
            <w:r>
              <w:rPr>
                <w:rFonts w:ascii="Times New Roman" w:hAnsi="Times New Roman"/>
                <w:b w:val="0"/>
                <w:i w:val="0"/>
                <w:color w:val="000000"/>
                <w:sz w:val="24"/>
              </w:rPr>
              <w:t>Nằm ở nhóm II</w:t>
            </w:r>
          </w:p>
        </w:tc>
        <w:tc>
          <w:tcPr>
            <w:tcW w:type="dxa" w:w="3515"/>
          </w:tcPr>
          <w:p>
            <w:pPr>
              <w:spacing w:before="40" w:after="40" w:line="240" w:lineRule="auto"/>
              <w:ind w:firstLine="0"/>
              <w:jc w:val="left"/>
            </w:pPr>
            <w:r/>
            <w:r>
              <w:rPr>
                <w:rFonts w:ascii="Times New Roman" w:hAnsi="Times New Roman"/>
                <w:b w:val="0"/>
                <w:i w:val="0"/>
                <w:color w:val="000000"/>
                <w:sz w:val="24"/>
              </w:rPr>
              <w:t>15 điểm, chuyển về nhóm I</w:t>
            </w:r>
          </w:p>
        </w:tc>
      </w:tr>
    </w:tbl>
    <w:p>
      <w:pPr>
        <w:spacing w:after="0"/>
      </w:pPr>
    </w:p>
    <w:p>
      <w:pPr>
        <w:spacing w:before="120" w:after="120" w:line="240" w:lineRule="auto"/>
        <w:ind w:firstLine="567"/>
        <w:jc w:val="both"/>
      </w:pPr>
      <w:r>
        <w:rPr>
          <w:rFonts w:ascii="Times New Roman" w:hAnsi="Times New Roman"/>
          <w:b w:val="0"/>
          <w:i w:val="0"/>
          <w:color w:val="000000"/>
          <w:sz w:val="28"/>
        </w:rPr>
        <w:t>Thực chất, bộ tiêu chí đã ban hành cho phép doanh nghiệp địa phương đạt tối đa 30 điểm từ hai nguồn khá dễ chứng minh là hợp đồng thi công công trình giao thông, thủy lợi và hồ sơ nhân sự. Bộ tiêu chí xây dựng lại cắt bỏ cả hai nguồn này, chỉ còn 15 điểm, trong đó doanh nghiệp chưa từng thực hiện dự án khu công nghiệp, cụm công nghiệp gần như chắc chắn chỉ đạt từ 0 đến 02 điểm ở phần kinh nghiệm.</w:t>
      </w:r>
    </w:p>
    <w:p>
      <w:pPr>
        <w:spacing w:before="120" w:after="120" w:line="240" w:lineRule="auto"/>
        <w:ind w:firstLine="567"/>
        <w:jc w:val="both"/>
      </w:pPr>
      <w:r>
        <w:rPr>
          <w:rFonts w:ascii="Times New Roman" w:hAnsi="Times New Roman"/>
          <w:b w:val="0"/>
          <w:i w:val="0"/>
          <w:color w:val="000000"/>
          <w:sz w:val="28"/>
        </w:rPr>
        <w:t>Đây là thay đổi mang tính chọn lọc có chủ đích. Nếu tỉnh chủ trương nâng chất lượng chủ đầu tư hạ tầng thì định hướng này hợp lý. Tuy nhiên, đối với các cụm công nghiệp vùng khó như Tân Nguyên, Mông Sơn, Châu Quế, nơi ứng viên chủ yếu là doanh nghiệp xây lắp địa phương, cần lường trước rủi ro không có hồ sơ nào đạt từ 50 điểm trở lên, dẫn tới phải tổ chức lại quy trình lựa chọn chủ đầu tư.</w:t>
      </w:r>
    </w:p>
    <w:p>
      <w:pPr>
        <w:spacing w:before="120" w:after="120" w:line="240" w:lineRule="auto"/>
        <w:ind w:firstLine="567"/>
        <w:jc w:val="both"/>
      </w:pPr>
      <w:r>
        <w:rPr>
          <w:rFonts w:ascii="Times New Roman" w:hAnsi="Times New Roman"/>
          <w:b w:val="0"/>
          <w:i w:val="0"/>
          <w:color w:val="000000"/>
          <w:sz w:val="28"/>
        </w:rPr>
        <w:t>Ngoài ra, ô giá trị hợp đồng tối thiểu tại tiêu chí I.1 hiện vẫn để trống. Chưa điền thì Hội đồng không có căn cứ chấm điểm; nếu điền theo suất vốn đầu tư tại Quyết định số 425/QĐ-BXD ngày 30/3/2026 của Bộ trưởng Bộ Xây dựng thì với cụm công nghiệp quy mô 20 đến 50 ha, con số này sẽ không nhỏ. Cần tính thử trước khi chốt.</w:t>
      </w:r>
    </w:p>
    <w:p>
      <w:pPr>
        <w:spacing w:before="120" w:after="120" w:line="240" w:lineRule="auto"/>
        <w:ind w:firstLine="567"/>
        <w:jc w:val="both"/>
      </w:pPr>
      <w:r>
        <w:rPr>
          <w:rFonts w:ascii="Times New Roman" w:hAnsi="Times New Roman"/>
          <w:b/>
          <w:i w:val="0"/>
          <w:color w:val="000000"/>
          <w:sz w:val="28"/>
        </w:rPr>
        <w:t>IV. NHÓM II - PHƯƠNG ÁN TÀI CHÍNH: NỚI Ở TIÊU CHÍ VỐN, SIẾT Ở KHỐI LƯỢNG HỒ SƠ</w:t>
      </w:r>
    </w:p>
    <w:p>
      <w:pPr>
        <w:spacing w:before="120" w:after="120" w:line="240" w:lineRule="auto"/>
        <w:ind w:firstLine="567"/>
        <w:jc w:val="both"/>
      </w:pPr>
      <w:r>
        <w:rPr>
          <w:rFonts w:ascii="Times New Roman" w:hAnsi="Times New Roman"/>
          <w:b/>
          <w:i w:val="0"/>
          <w:color w:val="000000"/>
          <w:sz w:val="28"/>
        </w:rPr>
        <w:t>1. Nội dung được nới rõ rệt</w:t>
      </w:r>
    </w:p>
    <w:p>
      <w:pPr>
        <w:spacing w:before="120" w:after="120" w:line="240" w:lineRule="auto"/>
        <w:ind w:firstLine="567"/>
        <w:jc w:val="both"/>
      </w:pPr>
      <w:r>
        <w:rPr>
          <w:rFonts w:ascii="Times New Roman" w:hAnsi="Times New Roman"/>
          <w:b w:val="0"/>
          <w:i w:val="0"/>
          <w:color w:val="000000"/>
          <w:sz w:val="28"/>
        </w:rPr>
        <w:t>Bộ tiêu chí đã ban hành chấm vốn chủ sở hữu theo thang 30 điểm: trên 55% tổng mức đầu tư được trọn 30 điểm; từ 15% đến dưới 45% chỉ được 15 điểm. Chênh lệch 15 điểm này tạo lợi thế áp đảo cho doanh nghiệp có tiềm lực vốn lớn. Bộ tiêu chí xây dựng lại chỉ còn chấm hai mức với 10 điểm: đáp ứng tỷ lệ tối thiểu là được trọn điểm. Doanh nghiệp có vốn chủ sở hữu mỏng được hưởng lợi lớn từ thay đổi này.</w:t>
      </w:r>
    </w:p>
    <w:p>
      <w:pPr>
        <w:spacing w:before="120" w:after="120" w:line="240" w:lineRule="auto"/>
        <w:ind w:firstLine="567"/>
        <w:jc w:val="both"/>
      </w:pPr>
      <w:r>
        <w:rPr>
          <w:rFonts w:ascii="Times New Roman" w:hAnsi="Times New Roman"/>
          <w:b/>
          <w:i w:val="0"/>
          <w:color w:val="000000"/>
          <w:sz w:val="28"/>
        </w:rPr>
        <w:t>2. Nội dung bị siết rất mạnh</w:t>
      </w:r>
    </w:p>
    <w:p>
      <w:pPr>
        <w:spacing w:before="120" w:after="120" w:line="240" w:lineRule="auto"/>
        <w:ind w:firstLine="567"/>
        <w:jc w:val="both"/>
      </w:pPr>
      <w:r>
        <w:rPr>
          <w:rFonts w:ascii="Times New Roman" w:hAnsi="Times New Roman"/>
          <w:b w:val="0"/>
          <w:i w:val="0"/>
          <w:color w:val="000000"/>
          <w:sz w:val="28"/>
        </w:rPr>
        <w:t>Bộ tiêu chí xây dựng lại bổ sung 04 tiêu chí mới, mỗi tiêu chí 10 điểm, đều là nội dung chưa từng có trong bộ đã ban hành:</w:t>
      </w:r>
    </w:p>
    <w:p>
      <w:pPr>
        <w:spacing w:before="120" w:after="120" w:line="240" w:lineRule="auto"/>
        <w:ind w:firstLine="567"/>
        <w:jc w:val="both"/>
      </w:pPr>
      <w:r>
        <w:rPr>
          <w:rFonts w:ascii="Times New Roman" w:hAnsi="Times New Roman"/>
          <w:b w:val="0"/>
          <w:i w:val="0"/>
          <w:color w:val="000000"/>
          <w:sz w:val="28"/>
        </w:rPr>
        <w:t>- Bảng xác định tổng vốn đầu tư đủ 03 nhóm chi phí, có căn cứ xác định;</w:t>
      </w:r>
    </w:p>
    <w:p>
      <w:pPr>
        <w:spacing w:before="120" w:after="120" w:line="240" w:lineRule="auto"/>
        <w:ind w:firstLine="567"/>
        <w:jc w:val="both"/>
      </w:pPr>
      <w:r>
        <w:rPr>
          <w:rFonts w:ascii="Times New Roman" w:hAnsi="Times New Roman"/>
          <w:b w:val="0"/>
          <w:i w:val="0"/>
          <w:color w:val="000000"/>
          <w:sz w:val="28"/>
        </w:rPr>
        <w:t>- Kế hoạch bố trí, huy động vốn theo tiến độ và theo từng giai đoạn thực hiện dự án;</w:t>
      </w:r>
    </w:p>
    <w:p>
      <w:pPr>
        <w:spacing w:before="120" w:after="120" w:line="240" w:lineRule="auto"/>
        <w:ind w:firstLine="567"/>
        <w:jc w:val="both"/>
      </w:pPr>
      <w:r>
        <w:rPr>
          <w:rFonts w:ascii="Times New Roman" w:hAnsi="Times New Roman"/>
          <w:b w:val="0"/>
          <w:i w:val="0"/>
          <w:color w:val="000000"/>
          <w:sz w:val="28"/>
        </w:rPr>
        <w:t>- Kế hoạch thu hút đầu tư gồm 04 nội dung, trong đó có dự kiến quỹ đất công nghiệp cho doanh nghiệp công nghệ cao thuộc khu vực kinh tế tư nhân, doanh nghiệp nhỏ và vừa, doanh nghiệp khởi nghiệp sáng tạo và cam kết đạt tỷ lệ lấp đầy 100% trong thời gian không quá 05 năm;</w:t>
      </w:r>
    </w:p>
    <w:p>
      <w:pPr>
        <w:spacing w:before="120" w:after="120" w:line="240" w:lineRule="auto"/>
        <w:ind w:firstLine="567"/>
        <w:jc w:val="both"/>
      </w:pPr>
      <w:r>
        <w:rPr>
          <w:rFonts w:ascii="Times New Roman" w:hAnsi="Times New Roman"/>
          <w:b w:val="0"/>
          <w:i w:val="0"/>
          <w:color w:val="000000"/>
          <w:sz w:val="28"/>
        </w:rPr>
        <w:t>- Hiệu quả kinh tế của dự án, yêu cầu xác định dòng tiền và tính toán NPV, IRR.</w:t>
      </w:r>
    </w:p>
    <w:p>
      <w:pPr>
        <w:spacing w:before="120" w:after="120" w:line="240" w:lineRule="auto"/>
        <w:ind w:firstLine="567"/>
        <w:jc w:val="both"/>
      </w:pPr>
      <w:r>
        <w:rPr>
          <w:rFonts w:ascii="Times New Roman" w:hAnsi="Times New Roman"/>
          <w:b w:val="0"/>
          <w:i w:val="0"/>
          <w:color w:val="000000"/>
          <w:sz w:val="28"/>
        </w:rPr>
        <w:t>Tiêu chí về NPV, IRR là nội dung cần cân nhắc kỹ nhất về mặt pháp lý. Tại giai đoạn lập báo cáo đầu tư thành lập cụm công nghiệp theo Điều 12 Nghị định số 32/2024/NĐ-CP, hồ sơ chỉ yêu cầu nghiên cứu sơ bộ về sự cần thiết, tính khả thi và tính hiệu quả của việc đầu tư. Tại thời điểm này chưa có quy hoạch chi tiết, chưa có giá thuê đất, chưa có phương án bồi thường giải phóng mặt bằng được phê duyệt. Yêu cầu tính NPV, IRR là kéo yêu cầu của Báo cáo nghiên cứu khả thi lên trước một bước. Về quản lý thì có tác dụng sàng lọc tốt, nhưng nếu doanh nghiệp khiếu nại là yêu cầu vượt quy định của nghị định thì lập luận bảo vệ phải dựa vào quyền cụ thể hóa tiêu chí của Hội đồng, không có căn cứ trực tiếp.</w:t>
      </w:r>
    </w:p>
    <w:p>
      <w:pPr>
        <w:spacing w:before="120" w:after="120" w:line="240" w:lineRule="auto"/>
        <w:ind w:firstLine="567"/>
        <w:jc w:val="both"/>
      </w:pPr>
      <w:r>
        <w:rPr>
          <w:rFonts w:ascii="Times New Roman" w:hAnsi="Times New Roman"/>
          <w:b w:val="0"/>
          <w:i w:val="0"/>
          <w:color w:val="000000"/>
          <w:sz w:val="28"/>
        </w:rPr>
        <w:t>Tiêu chí lấp đầy 100% trong 05 năm mới đạt điểm tối đa cũng cần cân nhắc: thực tế cụm công nghiệp miền núi hầu như không đạt được mốc này, nên gần như mọi hồ sơ sẽ chỉ đạt 05 trên 10 điểm, tiêu chí trên thực tế không phân loại được nhà đầu tư.</w:t>
      </w:r>
    </w:p>
    <w:p>
      <w:pPr>
        <w:spacing w:before="120" w:after="120" w:line="240" w:lineRule="auto"/>
        <w:ind w:firstLine="567"/>
        <w:jc w:val="both"/>
      </w:pPr>
      <w:r>
        <w:rPr>
          <w:rFonts w:ascii="Times New Roman" w:hAnsi="Times New Roman"/>
          <w:b/>
          <w:i w:val="0"/>
          <w:color w:val="000000"/>
          <w:sz w:val="28"/>
        </w:rPr>
        <w:t>V. NHÓM III - PHƯƠNG ÁN ĐẦU TƯ XÂY DỰNG HẠ TẦNG KỸ THUẬT</w:t>
      </w:r>
    </w:p>
    <w:p>
      <w:pPr>
        <w:spacing w:before="120" w:after="120" w:line="240" w:lineRule="auto"/>
        <w:ind w:firstLine="567"/>
        <w:jc w:val="both"/>
      </w:pPr>
      <w:r>
        <w:rPr>
          <w:rFonts w:ascii="Times New Roman" w:hAnsi="Times New Roman"/>
          <w:b w:val="0"/>
          <w:i w:val="0"/>
          <w:color w:val="000000"/>
          <w:sz w:val="28"/>
        </w:rPr>
        <w:t>Bộ tiêu chí xây dựng lại tách nhóm III thành 06 tiêu chí, bổ sung mới các nội dung: đấu nối hạ tầng kỹ thuật (01 điểm), kế hoạch giải phóng mặt bằng và bố trí tái định cư (02 điểm), phương án nhà ở dành cho lao động (01 điểm), phương án duy tu bảo dưỡng và vận hành (01 điểm).</w:t>
      </w:r>
    </w:p>
    <w:p>
      <w:pPr>
        <w:spacing w:before="120" w:after="120" w:line="240" w:lineRule="auto"/>
        <w:ind w:firstLine="567"/>
        <w:jc w:val="both"/>
      </w:pPr>
      <w:r>
        <w:rPr>
          <w:rFonts w:ascii="Times New Roman" w:hAnsi="Times New Roman"/>
          <w:b w:val="0"/>
          <w:i w:val="0"/>
          <w:color w:val="000000"/>
          <w:sz w:val="28"/>
        </w:rPr>
        <w:t>Số điểm của từng tiêu chí rất nhỏ nhưng mỗi tiêu chí là một đầu tài liệu phải lập. Nặng nhất là kế hoạch giải phóng mặt bằng và bố trí tái định cư, vì tại giai đoạn thành lập cụm công nghiệp chưa tổ chức kiểm đếm, chưa có phương án bồi thường được phê duyệt, nhà đầu tư chỉ trình bày được ở mức ước tính.</w:t>
      </w:r>
    </w:p>
    <w:p>
      <w:pPr>
        <w:spacing w:before="120" w:after="120" w:line="240" w:lineRule="auto"/>
        <w:ind w:firstLine="567"/>
        <w:jc w:val="both"/>
      </w:pPr>
      <w:r>
        <w:rPr>
          <w:rFonts w:ascii="Times New Roman" w:hAnsi="Times New Roman"/>
          <w:b w:val="0"/>
          <w:i w:val="0"/>
          <w:color w:val="000000"/>
          <w:sz w:val="28"/>
        </w:rPr>
        <w:t>Về tiến độ, bộ tiêu chí xây dựng lại siết mốc thời gian nhưng giảm trọng số: mốc loại trừ hạ từ 36 tháng xuống 30 tháng, trong khi trọng số giảm từ 07 điểm xuống 04 điểm. Nhà đầu tư cam kết 36 tháng thì theo bộ đã ban hành vẫn được 05 điểm, còn theo bộ xây dựng lại là 0 điểm.</w:t>
      </w:r>
    </w:p>
    <w:p>
      <w:pPr>
        <w:spacing w:before="120" w:after="120" w:line="240" w:lineRule="auto"/>
        <w:ind w:firstLine="567"/>
        <w:jc w:val="both"/>
      </w:pPr>
      <w:r>
        <w:rPr>
          <w:rFonts w:ascii="Times New Roman" w:hAnsi="Times New Roman"/>
          <w:b/>
          <w:i w:val="0"/>
          <w:color w:val="000000"/>
          <w:sz w:val="28"/>
        </w:rPr>
        <w:t>VI. NHÓM IV - PHƯƠNG ÁN QUẢN LÝ, BẢO VỆ MÔI TRƯỜNG: CÙNG 15 ĐIỂM NHƯNG KHẮT KHE HƠN NHIỀU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08"/>
          </w:tcPr>
          <w:p>
            <w:pPr>
              <w:spacing w:before="40" w:after="40" w:line="240" w:lineRule="auto"/>
              <w:ind w:firstLine="0"/>
              <w:jc w:val="center"/>
            </w:pPr>
            <w:r/>
            <w:r>
              <w:rPr>
                <w:rFonts w:ascii="Times New Roman" w:hAnsi="Times New Roman"/>
                <w:b/>
                <w:i w:val="0"/>
                <w:color w:val="000000"/>
                <w:sz w:val="24"/>
              </w:rPr>
              <w:t>Tiêu chí</w:t>
            </w:r>
          </w:p>
        </w:tc>
        <w:tc>
          <w:tcPr>
            <w:tcW w:type="dxa" w:w="3231"/>
          </w:tcPr>
          <w:p>
            <w:pPr>
              <w:spacing w:before="40" w:after="40" w:line="240" w:lineRule="auto"/>
              <w:ind w:firstLine="0"/>
              <w:jc w:val="center"/>
            </w:pPr>
            <w:r/>
            <w:r>
              <w:rPr>
                <w:rFonts w:ascii="Times New Roman" w:hAnsi="Times New Roman"/>
                <w:b/>
                <w:i w:val="0"/>
                <w:color w:val="000000"/>
                <w:sz w:val="24"/>
              </w:rPr>
              <w:t>Bộ tiêu chí Tân Nguyên</w:t>
            </w:r>
          </w:p>
        </w:tc>
        <w:tc>
          <w:tcPr>
            <w:tcW w:type="dxa" w:w="3231"/>
          </w:tcPr>
          <w:p>
            <w:pPr>
              <w:spacing w:before="40" w:after="40" w:line="240" w:lineRule="auto"/>
              <w:ind w:firstLine="0"/>
              <w:jc w:val="center"/>
            </w:pPr>
            <w:r/>
            <w:r>
              <w:rPr>
                <w:rFonts w:ascii="Times New Roman" w:hAnsi="Times New Roman"/>
                <w:b/>
                <w:i w:val="0"/>
                <w:color w:val="000000"/>
                <w:sz w:val="24"/>
              </w:rPr>
              <w:t>Bộ tiêu chí xây dựng lại</w:t>
            </w:r>
          </w:p>
        </w:tc>
      </w:tr>
      <w:tr>
        <w:tc>
          <w:tcPr>
            <w:tcW w:type="dxa" w:w="2608"/>
          </w:tcPr>
          <w:p>
            <w:pPr>
              <w:spacing w:before="40" w:after="40" w:line="240" w:lineRule="auto"/>
              <w:ind w:firstLine="0"/>
              <w:jc w:val="left"/>
            </w:pPr>
            <w:r/>
            <w:r>
              <w:rPr>
                <w:rFonts w:ascii="Times New Roman" w:hAnsi="Times New Roman"/>
                <w:b w:val="0"/>
                <w:i w:val="0"/>
                <w:color w:val="000000"/>
                <w:sz w:val="24"/>
              </w:rPr>
              <w:t>Giải pháp sơ bộ về bảo vệ môi trường (10 điểm)</w:t>
            </w:r>
          </w:p>
        </w:tc>
        <w:tc>
          <w:tcPr>
            <w:tcW w:type="dxa" w:w="3231"/>
          </w:tcPr>
          <w:p>
            <w:pPr>
              <w:spacing w:before="40" w:after="40" w:line="240" w:lineRule="auto"/>
              <w:ind w:firstLine="0"/>
              <w:jc w:val="left"/>
            </w:pPr>
            <w:r/>
            <w:r>
              <w:rPr>
                <w:rFonts w:ascii="Times New Roman" w:hAnsi="Times New Roman"/>
                <w:b w:val="0"/>
                <w:i w:val="0"/>
                <w:color w:val="000000"/>
                <w:sz w:val="24"/>
              </w:rPr>
              <w:t>Có mức trung gian 05 điểm cho trường hợp đánh giá chưa đầy đủ</w:t>
            </w:r>
          </w:p>
        </w:tc>
        <w:tc>
          <w:tcPr>
            <w:tcW w:type="dxa" w:w="3231"/>
          </w:tcPr>
          <w:p>
            <w:pPr>
              <w:spacing w:before="40" w:after="40" w:line="240" w:lineRule="auto"/>
              <w:ind w:firstLine="0"/>
              <w:jc w:val="left"/>
            </w:pPr>
            <w:r/>
            <w:r>
              <w:rPr>
                <w:rFonts w:ascii="Times New Roman" w:hAnsi="Times New Roman"/>
                <w:b w:val="0"/>
                <w:i w:val="0"/>
                <w:color w:val="000000"/>
                <w:sz w:val="24"/>
              </w:rPr>
              <w:t>Bỏ mức trung gian, thiếu 01 trong 05 nội dung là 0 điểm</w:t>
            </w:r>
          </w:p>
        </w:tc>
      </w:tr>
      <w:tr>
        <w:tc>
          <w:tcPr>
            <w:tcW w:type="dxa" w:w="2608"/>
          </w:tcPr>
          <w:p>
            <w:pPr>
              <w:spacing w:before="40" w:after="40" w:line="240" w:lineRule="auto"/>
              <w:ind w:firstLine="0"/>
              <w:jc w:val="left"/>
            </w:pPr>
            <w:r/>
            <w:r>
              <w:rPr>
                <w:rFonts w:ascii="Times New Roman" w:hAnsi="Times New Roman"/>
                <w:b w:val="0"/>
                <w:i w:val="0"/>
                <w:color w:val="000000"/>
                <w:sz w:val="24"/>
              </w:rPr>
              <w:t>Phương án quản lý môi trường (05 điểm)</w:t>
            </w:r>
          </w:p>
        </w:tc>
        <w:tc>
          <w:tcPr>
            <w:tcW w:type="dxa" w:w="3231"/>
          </w:tcPr>
          <w:p>
            <w:pPr>
              <w:spacing w:before="40" w:after="40" w:line="240" w:lineRule="auto"/>
              <w:ind w:firstLine="0"/>
              <w:jc w:val="left"/>
            </w:pPr>
            <w:r/>
            <w:r>
              <w:rPr>
                <w:rFonts w:ascii="Times New Roman" w:hAnsi="Times New Roman"/>
                <w:b w:val="0"/>
                <w:i w:val="0"/>
                <w:color w:val="000000"/>
                <w:sz w:val="24"/>
              </w:rPr>
              <w:t>Yêu cầu 02 nội dung: kinh phí và nhân lực</w:t>
            </w:r>
          </w:p>
        </w:tc>
        <w:tc>
          <w:tcPr>
            <w:tcW w:type="dxa" w:w="3231"/>
          </w:tcPr>
          <w:p>
            <w:pPr>
              <w:spacing w:before="40" w:after="40" w:line="240" w:lineRule="auto"/>
              <w:ind w:firstLine="0"/>
              <w:jc w:val="left"/>
            </w:pPr>
            <w:r/>
            <w:r>
              <w:rPr>
                <w:rFonts w:ascii="Times New Roman" w:hAnsi="Times New Roman"/>
                <w:b w:val="0"/>
                <w:i w:val="0"/>
                <w:color w:val="000000"/>
                <w:sz w:val="24"/>
              </w:rPr>
              <w:t>Yêu cầu 06 nội dung, thiếu 01 nội dung là 0 điểm</w:t>
            </w:r>
          </w:p>
        </w:tc>
      </w:tr>
    </w:tbl>
    <w:p>
      <w:pPr>
        <w:spacing w:after="0"/>
      </w:pPr>
    </w:p>
    <w:p>
      <w:pPr>
        <w:spacing w:before="120" w:after="120" w:line="240" w:lineRule="auto"/>
        <w:ind w:firstLine="567"/>
        <w:jc w:val="both"/>
      </w:pPr>
      <w:r>
        <w:rPr>
          <w:rFonts w:ascii="Times New Roman" w:hAnsi="Times New Roman"/>
          <w:b w:val="0"/>
          <w:i w:val="0"/>
          <w:color w:val="000000"/>
          <w:sz w:val="28"/>
        </w:rPr>
        <w:t>Đây là nhóm có rủi ro mất điểm không đáng có cao nhất trong toàn bộ bộ tiêu chí.</w:t>
      </w:r>
    </w:p>
    <w:p>
      <w:pPr>
        <w:spacing w:before="120" w:after="120" w:line="240" w:lineRule="auto"/>
        <w:ind w:firstLine="567"/>
        <w:jc w:val="both"/>
      </w:pPr>
      <w:r>
        <w:rPr>
          <w:rFonts w:ascii="Times New Roman" w:hAnsi="Times New Roman"/>
          <w:b/>
          <w:i w:val="0"/>
          <w:color w:val="000000"/>
          <w:sz w:val="28"/>
        </w:rPr>
        <w:t>VII. RỦI RO HỆ THỐNG: BỘ TIÊU CHÍ XÂY DỰNG LẠI GẦN NHƯ CHẤM NHỊ PHÂN TOÀN BỘ</w:t>
      </w:r>
    </w:p>
    <w:p>
      <w:pPr>
        <w:spacing w:before="120" w:after="120" w:line="240" w:lineRule="auto"/>
        <w:ind w:firstLine="567"/>
        <w:jc w:val="both"/>
      </w:pPr>
      <w:r>
        <w:rPr>
          <w:rFonts w:ascii="Times New Roman" w:hAnsi="Times New Roman"/>
          <w:b w:val="0"/>
          <w:i w:val="0"/>
          <w:color w:val="000000"/>
          <w:sz w:val="28"/>
        </w:rPr>
        <w:t>Bộ tiêu chí Tân Nguyên có nhiều mức 100%, 75%, 50% nên phân loại tương đối mượt. Bộ tiêu chí xây dựng lại có 12 trên 16 tiêu chí chỉ còn hai mức có hoặc không. Hệ quả là:</w:t>
      </w:r>
    </w:p>
    <w:p>
      <w:pPr>
        <w:spacing w:before="120" w:after="120" w:line="240" w:lineRule="auto"/>
        <w:ind w:firstLine="567"/>
        <w:jc w:val="both"/>
      </w:pPr>
      <w:r>
        <w:rPr>
          <w:rFonts w:ascii="Times New Roman" w:hAnsi="Times New Roman"/>
          <w:b w:val="0"/>
          <w:i w:val="0"/>
          <w:color w:val="000000"/>
          <w:sz w:val="28"/>
        </w:rPr>
        <w:t>- Phương sai điểm rất lớn, thiếu một tài liệu nhỏ có thể mất trọn 10 điểm;</w:t>
      </w:r>
    </w:p>
    <w:p>
      <w:pPr>
        <w:spacing w:before="120" w:after="120" w:line="240" w:lineRule="auto"/>
        <w:ind w:firstLine="567"/>
        <w:jc w:val="both"/>
      </w:pPr>
      <w:r>
        <w:rPr>
          <w:rFonts w:ascii="Times New Roman" w:hAnsi="Times New Roman"/>
          <w:b w:val="0"/>
          <w:i w:val="0"/>
          <w:color w:val="000000"/>
          <w:sz w:val="28"/>
        </w:rPr>
        <w:t>- Hai hồ sơ có năng lực tương đương có thể chênh nhau từ 20 đến 30 điểm chỉ vì cách lập và trình bày hồ sơ;</w:t>
      </w:r>
    </w:p>
    <w:p>
      <w:pPr>
        <w:spacing w:before="120" w:after="120" w:line="240" w:lineRule="auto"/>
        <w:ind w:firstLine="567"/>
        <w:jc w:val="both"/>
      </w:pPr>
      <w:r>
        <w:rPr>
          <w:rFonts w:ascii="Times New Roman" w:hAnsi="Times New Roman"/>
          <w:b w:val="0"/>
          <w:i w:val="0"/>
          <w:color w:val="000000"/>
          <w:sz w:val="28"/>
        </w:rPr>
        <w:t>- Nguy cơ hồ sơ không đạt ngưỡng 50 điểm tăng mạnh dù năng lực thực tế đáp ứng.</w:t>
      </w:r>
    </w:p>
    <w:p>
      <w:pPr>
        <w:spacing w:before="120" w:after="120" w:line="240" w:lineRule="auto"/>
        <w:ind w:firstLine="567"/>
        <w:jc w:val="both"/>
      </w:pPr>
      <w:r>
        <w:rPr>
          <w:rFonts w:ascii="Times New Roman" w:hAnsi="Times New Roman"/>
          <w:b w:val="0"/>
          <w:i w:val="0"/>
          <w:color w:val="000000"/>
          <w:sz w:val="28"/>
        </w:rPr>
        <w:t>Thử tính điểm với một doanh nghiệp xây lắp địa phương điển hình: đã thi công nhiều công trình giao thông, thủy lợi; chưa từng làm chủ đầu tư cụm công nghiệp; vốn chủ sở hữu bằng 20% tổng mức đầu tư; cam kết tiến độ 30 tháng. Kết quả như sau: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082"/>
          </w:tcPr>
          <w:p>
            <w:pPr>
              <w:spacing w:before="40" w:after="40" w:line="240" w:lineRule="auto"/>
              <w:ind w:firstLine="0"/>
              <w:jc w:val="center"/>
            </w:pPr>
            <w:r/>
            <w:r>
              <w:rPr>
                <w:rFonts w:ascii="Times New Roman" w:hAnsi="Times New Roman"/>
                <w:b/>
                <w:i w:val="0"/>
                <w:color w:val="000000"/>
                <w:sz w:val="24"/>
              </w:rPr>
              <w:t>Trường hợp</w:t>
            </w:r>
          </w:p>
        </w:tc>
        <w:tc>
          <w:tcPr>
            <w:tcW w:type="dxa" w:w="2154"/>
          </w:tcPr>
          <w:p>
            <w:pPr>
              <w:spacing w:before="40" w:after="40" w:line="240" w:lineRule="auto"/>
              <w:ind w:firstLine="0"/>
              <w:jc w:val="center"/>
            </w:pPr>
            <w:r/>
            <w:r>
              <w:rPr>
                <w:rFonts w:ascii="Times New Roman" w:hAnsi="Times New Roman"/>
                <w:b/>
                <w:i w:val="0"/>
                <w:color w:val="000000"/>
                <w:sz w:val="24"/>
              </w:rPr>
              <w:t>Điểm ước tính</w:t>
            </w:r>
          </w:p>
        </w:tc>
        <w:tc>
          <w:tcPr>
            <w:tcW w:type="dxa" w:w="2835"/>
          </w:tcPr>
          <w:p>
            <w:pPr>
              <w:spacing w:before="40" w:after="40" w:line="240" w:lineRule="auto"/>
              <w:ind w:firstLine="0"/>
              <w:jc w:val="center"/>
            </w:pPr>
            <w:r/>
            <w:r>
              <w:rPr>
                <w:rFonts w:ascii="Times New Roman" w:hAnsi="Times New Roman"/>
                <w:b/>
                <w:i w:val="0"/>
                <w:color w:val="000000"/>
                <w:sz w:val="24"/>
              </w:rPr>
              <w:t>Kết quả</w:t>
            </w:r>
          </w:p>
        </w:tc>
      </w:tr>
      <w:tr>
        <w:tc>
          <w:tcPr>
            <w:tcW w:type="dxa" w:w="4082"/>
          </w:tcPr>
          <w:p>
            <w:pPr>
              <w:spacing w:before="40" w:after="40" w:line="240" w:lineRule="auto"/>
              <w:ind w:firstLine="0"/>
              <w:jc w:val="left"/>
            </w:pPr>
            <w:r/>
            <w:r>
              <w:rPr>
                <w:rFonts w:ascii="Times New Roman" w:hAnsi="Times New Roman"/>
                <w:b w:val="0"/>
                <w:i w:val="0"/>
                <w:color w:val="000000"/>
                <w:sz w:val="24"/>
              </w:rPr>
              <w:t>Chấm theo bộ tiêu chí Tân Nguyên</w:t>
            </w:r>
          </w:p>
        </w:tc>
        <w:tc>
          <w:tcPr>
            <w:tcW w:type="dxa" w:w="2154"/>
          </w:tcPr>
          <w:p>
            <w:pPr>
              <w:spacing w:before="40" w:after="40" w:line="240" w:lineRule="auto"/>
              <w:ind w:firstLine="0"/>
              <w:jc w:val="left"/>
            </w:pPr>
            <w:r/>
            <w:r>
              <w:rPr>
                <w:rFonts w:ascii="Times New Roman" w:hAnsi="Times New Roman"/>
                <w:b w:val="0"/>
                <w:i w:val="0"/>
                <w:color w:val="000000"/>
                <w:sz w:val="24"/>
              </w:rPr>
              <w:t>khoảng 83 trên 100</w:t>
            </w:r>
          </w:p>
        </w:tc>
        <w:tc>
          <w:tcPr>
            <w:tcW w:type="dxa" w:w="2835"/>
          </w:tcPr>
          <w:p>
            <w:pPr>
              <w:spacing w:before="40" w:after="40" w:line="240" w:lineRule="auto"/>
              <w:ind w:firstLine="0"/>
              <w:jc w:val="left"/>
            </w:pPr>
            <w:r/>
            <w:r>
              <w:rPr>
                <w:rFonts w:ascii="Times New Roman" w:hAnsi="Times New Roman"/>
                <w:b w:val="0"/>
                <w:i w:val="0"/>
                <w:color w:val="000000"/>
                <w:sz w:val="24"/>
              </w:rPr>
              <w:t>Đủ điều kiện được giao làm chủ đầu tư</w:t>
            </w:r>
          </w:p>
        </w:tc>
      </w:tr>
      <w:tr>
        <w:tc>
          <w:tcPr>
            <w:tcW w:type="dxa" w:w="4082"/>
          </w:tcPr>
          <w:p>
            <w:pPr>
              <w:spacing w:before="40" w:after="40" w:line="240" w:lineRule="auto"/>
              <w:ind w:firstLine="0"/>
              <w:jc w:val="left"/>
            </w:pPr>
            <w:r/>
            <w:r>
              <w:rPr>
                <w:rFonts w:ascii="Times New Roman" w:hAnsi="Times New Roman"/>
                <w:b w:val="0"/>
                <w:i w:val="0"/>
                <w:color w:val="000000"/>
                <w:sz w:val="24"/>
              </w:rPr>
              <w:t>Chấm theo bộ xây dựng lại, hồ sơ lập đầy đủ</w:t>
            </w:r>
          </w:p>
        </w:tc>
        <w:tc>
          <w:tcPr>
            <w:tcW w:type="dxa" w:w="2154"/>
          </w:tcPr>
          <w:p>
            <w:pPr>
              <w:spacing w:before="40" w:after="40" w:line="240" w:lineRule="auto"/>
              <w:ind w:firstLine="0"/>
              <w:jc w:val="left"/>
            </w:pPr>
            <w:r/>
            <w:r>
              <w:rPr>
                <w:rFonts w:ascii="Times New Roman" w:hAnsi="Times New Roman"/>
                <w:b w:val="0"/>
                <w:i w:val="0"/>
                <w:color w:val="000000"/>
                <w:sz w:val="24"/>
              </w:rPr>
              <w:t>khoảng 78 đến 80</w:t>
            </w:r>
          </w:p>
        </w:tc>
        <w:tc>
          <w:tcPr>
            <w:tcW w:type="dxa" w:w="2835"/>
          </w:tcPr>
          <w:p>
            <w:pPr>
              <w:spacing w:before="40" w:after="40" w:line="240" w:lineRule="auto"/>
              <w:ind w:firstLine="0"/>
              <w:jc w:val="left"/>
            </w:pPr>
            <w:r/>
            <w:r>
              <w:rPr>
                <w:rFonts w:ascii="Times New Roman" w:hAnsi="Times New Roman"/>
                <w:b w:val="0"/>
                <w:i w:val="0"/>
                <w:color w:val="000000"/>
                <w:sz w:val="24"/>
              </w:rPr>
              <w:t>Đạt</w:t>
            </w:r>
          </w:p>
        </w:tc>
      </w:tr>
      <w:tr>
        <w:tc>
          <w:tcPr>
            <w:tcW w:type="dxa" w:w="4082"/>
          </w:tcPr>
          <w:p>
            <w:pPr>
              <w:spacing w:before="40" w:after="40" w:line="240" w:lineRule="auto"/>
              <w:ind w:firstLine="0"/>
              <w:jc w:val="left"/>
            </w:pPr>
            <w:r/>
            <w:r>
              <w:rPr>
                <w:rFonts w:ascii="Times New Roman" w:hAnsi="Times New Roman"/>
                <w:b w:val="0"/>
                <w:i w:val="0"/>
                <w:color w:val="000000"/>
                <w:sz w:val="24"/>
              </w:rPr>
              <w:t>Chấm theo bộ xây dựng lại, thiếu tính toán NPV, IRR và thiếu 01 nội dung môi trường</w:t>
            </w:r>
          </w:p>
        </w:tc>
        <w:tc>
          <w:tcPr>
            <w:tcW w:type="dxa" w:w="2154"/>
          </w:tcPr>
          <w:p>
            <w:pPr>
              <w:spacing w:before="40" w:after="40" w:line="240" w:lineRule="auto"/>
              <w:ind w:firstLine="0"/>
              <w:jc w:val="left"/>
            </w:pPr>
            <w:r/>
            <w:r>
              <w:rPr>
                <w:rFonts w:ascii="Times New Roman" w:hAnsi="Times New Roman"/>
                <w:b w:val="0"/>
                <w:i w:val="0"/>
                <w:color w:val="000000"/>
                <w:sz w:val="24"/>
              </w:rPr>
              <w:t>khoảng 58 đến 60</w:t>
            </w:r>
          </w:p>
        </w:tc>
        <w:tc>
          <w:tcPr>
            <w:tcW w:type="dxa" w:w="2835"/>
          </w:tcPr>
          <w:p>
            <w:pPr>
              <w:spacing w:before="40" w:after="40" w:line="240" w:lineRule="auto"/>
              <w:ind w:firstLine="0"/>
              <w:jc w:val="left"/>
            </w:pPr>
            <w:r/>
            <w:r>
              <w:rPr>
                <w:rFonts w:ascii="Times New Roman" w:hAnsi="Times New Roman"/>
                <w:b w:val="0"/>
                <w:i w:val="0"/>
                <w:color w:val="000000"/>
                <w:sz w:val="24"/>
              </w:rPr>
              <w:t>Đạt nhưng sát ngưỡng</w:t>
            </w:r>
          </w:p>
        </w:tc>
      </w:tr>
      <w:tr>
        <w:tc>
          <w:tcPr>
            <w:tcW w:type="dxa" w:w="4082"/>
          </w:tcPr>
          <w:p>
            <w:pPr>
              <w:spacing w:before="40" w:after="40" w:line="240" w:lineRule="auto"/>
              <w:ind w:firstLine="0"/>
              <w:jc w:val="left"/>
            </w:pPr>
            <w:r/>
            <w:r>
              <w:rPr>
                <w:rFonts w:ascii="Times New Roman" w:hAnsi="Times New Roman"/>
                <w:b w:val="0"/>
                <w:i w:val="0"/>
                <w:color w:val="000000"/>
                <w:sz w:val="24"/>
              </w:rPr>
              <w:t>Chấm theo bộ xây dựng lại, thiếu thêm một số nội dung nhóm III</w:t>
            </w:r>
          </w:p>
        </w:tc>
        <w:tc>
          <w:tcPr>
            <w:tcW w:type="dxa" w:w="2154"/>
          </w:tcPr>
          <w:p>
            <w:pPr>
              <w:spacing w:before="40" w:after="40" w:line="240" w:lineRule="auto"/>
              <w:ind w:firstLine="0"/>
              <w:jc w:val="left"/>
            </w:pPr>
            <w:r/>
            <w:r>
              <w:rPr>
                <w:rFonts w:ascii="Times New Roman" w:hAnsi="Times New Roman"/>
                <w:b w:val="0"/>
                <w:i w:val="0"/>
                <w:color w:val="000000"/>
                <w:sz w:val="24"/>
              </w:rPr>
              <w:t>dưới 50</w:t>
            </w:r>
          </w:p>
        </w:tc>
        <w:tc>
          <w:tcPr>
            <w:tcW w:type="dxa" w:w="2835"/>
          </w:tcPr>
          <w:p>
            <w:pPr>
              <w:spacing w:before="40" w:after="40" w:line="240" w:lineRule="auto"/>
              <w:ind w:firstLine="0"/>
              <w:jc w:val="left"/>
            </w:pPr>
            <w:r/>
            <w:r>
              <w:rPr>
                <w:rFonts w:ascii="Times New Roman" w:hAnsi="Times New Roman"/>
                <w:b w:val="0"/>
                <w:i w:val="0"/>
                <w:color w:val="000000"/>
                <w:sz w:val="24"/>
              </w:rPr>
              <w:t>Không đạt, bị loại</w:t>
            </w:r>
          </w:p>
        </w:tc>
      </w:tr>
    </w:tbl>
    <w:p>
      <w:pPr>
        <w:spacing w:after="0"/>
      </w:pPr>
    </w:p>
    <w:p>
      <w:pPr>
        <w:spacing w:before="120" w:after="120" w:line="240" w:lineRule="auto"/>
        <w:ind w:firstLine="567"/>
        <w:jc w:val="both"/>
      </w:pPr>
      <w:r>
        <w:rPr>
          <w:rFonts w:ascii="Times New Roman" w:hAnsi="Times New Roman"/>
          <w:b w:val="0"/>
          <w:i w:val="0"/>
          <w:color w:val="000000"/>
          <w:sz w:val="28"/>
        </w:rPr>
        <w:t>Như vậy, bộ tiêu chí xây dựng lại không chặn doanh nghiệp có năng lực, nhưng trên thực tế chặn doanh nghiệp không có đơn vị tư vấn lập hồ sơ chuyên nghiệp.</w:t>
      </w:r>
    </w:p>
    <w:p>
      <w:pPr>
        <w:spacing w:before="120" w:after="120" w:line="240" w:lineRule="auto"/>
        <w:ind w:firstLine="567"/>
        <w:jc w:val="both"/>
      </w:pPr>
      <w:r>
        <w:rPr>
          <w:rFonts w:ascii="Times New Roman" w:hAnsi="Times New Roman"/>
          <w:b/>
          <w:i w:val="0"/>
          <w:color w:val="000000"/>
          <w:sz w:val="28"/>
        </w:rPr>
        <w:t>VIII. KIẾN NGHỊ</w:t>
      </w:r>
    </w:p>
    <w:p>
      <w:pPr>
        <w:spacing w:before="120" w:after="120" w:line="240" w:lineRule="auto"/>
        <w:ind w:firstLine="567"/>
        <w:jc w:val="both"/>
      </w:pPr>
      <w:r>
        <w:rPr>
          <w:rFonts w:ascii="Times New Roman" w:hAnsi="Times New Roman"/>
          <w:b/>
          <w:i w:val="0"/>
          <w:color w:val="000000"/>
          <w:sz w:val="28"/>
        </w:rPr>
        <w:t>1. Không áp dụng bộ tiêu chí xây dựng lại đối với cụm công nghiệp Tân Nguyên.</w:t>
      </w:r>
    </w:p>
    <w:p>
      <w:pPr>
        <w:spacing w:before="120" w:after="120" w:line="240" w:lineRule="auto"/>
        <w:ind w:firstLine="567"/>
        <w:jc w:val="both"/>
      </w:pPr>
      <w:r>
        <w:rPr>
          <w:rFonts w:ascii="Times New Roman" w:hAnsi="Times New Roman"/>
          <w:b w:val="0"/>
          <w:i w:val="0"/>
          <w:color w:val="000000"/>
          <w:sz w:val="28"/>
        </w:rPr>
        <w:t>Cụm công nghiệp Tân Nguyên đã có Quyết định của Hội đồng đánh giá lựa chọn chủ đầu tư ban hành quy định tiêu chí, trên cơ sở Tờ trình số 4784/TTr-SCT ngày 07/8/2026 của Sở Công Thương. Nếu thay bộ tiêu chí sau khi doanh nghiệp đã nghiên cứu và chuẩn bị hồ sơ theo bộ tiêu chí đã ban hành thì không bảo đảm nguyên tắc công khai, minh bạch và dễ phát sinh khiếu nại, nhất là đối với các điều kiện loại hồ sơ như ngành nghề kinh doanh bất động sản. Bộ tiêu chí xây dựng lại nên áp dụng cho các cụm công nghiệp chưa ban hành tiêu chí, hoặc phải có điều khoản chuyển tiếp rõ ràng.</w:t>
      </w:r>
    </w:p>
    <w:p>
      <w:pPr>
        <w:spacing w:before="120" w:after="120" w:line="240" w:lineRule="auto"/>
        <w:ind w:firstLine="567"/>
        <w:jc w:val="both"/>
      </w:pPr>
      <w:r>
        <w:rPr>
          <w:rFonts w:ascii="Times New Roman" w:hAnsi="Times New Roman"/>
          <w:b/>
          <w:i w:val="0"/>
          <w:color w:val="000000"/>
          <w:sz w:val="28"/>
        </w:rPr>
        <w:t>2. Bổ sung các nội dung còn thiếu của bộ tiêu chí xây dựng lại.</w:t>
      </w:r>
    </w:p>
    <w:p>
      <w:pPr>
        <w:spacing w:before="120" w:after="120" w:line="240" w:lineRule="auto"/>
        <w:ind w:firstLine="567"/>
        <w:jc w:val="both"/>
      </w:pPr>
      <w:r>
        <w:rPr>
          <w:rFonts w:ascii="Times New Roman" w:hAnsi="Times New Roman"/>
          <w:b w:val="0"/>
          <w:i w:val="0"/>
          <w:color w:val="000000"/>
          <w:sz w:val="28"/>
        </w:rPr>
        <w:t>Dự thảo hiện chỉ có Phần I và Phần II. Chưa có nguyên tắc lựa chọn chủ đầu tư (thang điểm 100, ngưỡng 50 điểm, xử lý trường hợp bằng điểm), chưa có phần trách nhiệm tổ chức thực hiện và chưa có các biểu mẫu số 01, 02, 03 gồm phiếu chấm điểm, phiếu lựa chọn chủ đầu tư và biên bản kết quả đánh giá chấm điểm. So với Quyết định đã ban hành cho cụm công nghiệp Tân Nguyên thì dự thảo đang thiếu Chương I, Chương III và toàn bộ phụ lục, chưa đủ điều kiện trình ban hành.</w:t>
      </w:r>
    </w:p>
    <w:p>
      <w:pPr>
        <w:spacing w:before="120" w:after="120" w:line="240" w:lineRule="auto"/>
        <w:ind w:firstLine="567"/>
        <w:jc w:val="both"/>
      </w:pPr>
      <w:r>
        <w:rPr>
          <w:rFonts w:ascii="Times New Roman" w:hAnsi="Times New Roman"/>
          <w:b/>
          <w:i w:val="0"/>
          <w:color w:val="000000"/>
          <w:sz w:val="28"/>
        </w:rPr>
        <w:t>3. Cân nhắc giữ lại mức điểm trung gian ở hai tiêu chí.</w:t>
      </w:r>
    </w:p>
    <w:p>
      <w:pPr>
        <w:spacing w:before="120" w:after="120" w:line="240" w:lineRule="auto"/>
        <w:ind w:firstLine="567"/>
        <w:jc w:val="both"/>
      </w:pPr>
      <w:r>
        <w:rPr>
          <w:rFonts w:ascii="Times New Roman" w:hAnsi="Times New Roman"/>
          <w:b w:val="0"/>
          <w:i w:val="0"/>
          <w:color w:val="000000"/>
          <w:sz w:val="28"/>
        </w:rPr>
        <w:t>Cụ thể là tiêu chí IV.1 về giải pháp sơ bộ bảo vệ môi trường (10 điểm) và tiêu chí II.4 về hiệu quả kinh tế của dự án (10 điểm). Chỉ cần bổ sung một mức 05 điểm cho trường hợp có nhưng chưa đầy đủ là giảm được phần lớn rủi ro mất điểm không đáng có mà vẫn giữ được tính sàng lọc của bộ tiêu chí.</w:t>
      </w:r>
    </w:p>
    <w:p>
      <w:pPr>
        <w:spacing w:before="120" w:after="120" w:line="240" w:lineRule="auto"/>
        <w:ind w:firstLine="567"/>
        <w:jc w:val="both"/>
      </w:pPr>
      <w:r>
        <w:rPr>
          <w:rFonts w:ascii="Times New Roman" w:hAnsi="Times New Roman"/>
          <w:b/>
          <w:i w:val="0"/>
          <w:color w:val="000000"/>
          <w:sz w:val="28"/>
        </w:rPr>
        <w:t>4. Điền giá trị hợp đồng tối thiểu tại tiêu chí I.1 trước khi trình.</w:t>
      </w:r>
    </w:p>
    <w:p>
      <w:pPr>
        <w:spacing w:before="120" w:after="120" w:line="240" w:lineRule="auto"/>
        <w:ind w:firstLine="567"/>
        <w:jc w:val="both"/>
      </w:pPr>
      <w:r>
        <w:rPr>
          <w:rFonts w:ascii="Times New Roman" w:hAnsi="Times New Roman"/>
          <w:b w:val="0"/>
          <w:i w:val="0"/>
          <w:color w:val="000000"/>
          <w:sz w:val="28"/>
        </w:rPr>
        <w:t>Đề nghị tính thử theo suất vốn đầu tư tại Quyết định số 425/QĐ-BXD ngày 30/3/2026 của Bộ trưởng Bộ Xây dựng đối với quy mô cụm công nghiệp phổ biến trên địa bàn tỉnh, đối chiếu với năng lực thực tế của các doanh nghiệp dự kiến tham gia, sau đó mới quyết định mức cụ thể./.</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