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b/>
          <w:i w:val="0"/>
        </w:rPr>
        <w:t>BẢN NHẬN XÉT KẾT QUẢ THẨM ĐỊNH HỒ SƠ</w:t>
      </w:r>
    </w:p>
    <w:p>
      <w:pPr>
        <w:spacing w:after="120"/>
        <w:ind w:firstLine="0"/>
        <w:jc w:val="center"/>
      </w:pPr>
      <w:r>
        <w:rPr>
          <w:b/>
          <w:i w:val="0"/>
        </w:rPr>
        <w:t>đề nghị cấp Giấy phép sử dụng vật liệu nổ công nghiệp</w:t>
      </w:r>
    </w:p>
    <w:p>
      <w:pPr>
        <w:spacing w:after="120"/>
        <w:ind w:firstLine="0"/>
        <w:jc w:val="center"/>
      </w:pPr>
      <w:r>
        <w:rPr>
          <w:b w:val="0"/>
          <w:i/>
        </w:rPr>
        <w:t>của Công ty cổ phần Mông Sơn (hồ sơ nộp ngày 28/8/2026)</w:t>
      </w:r>
    </w:p>
    <w:p>
      <w:pPr>
        <w:spacing w:after="120"/>
        <w:ind w:firstLine="567"/>
        <w:jc w:val="both"/>
      </w:pPr>
      <w:r>
        <w:rPr>
          <w:b w:val="0"/>
          <w:i w:val="0"/>
        </w:rPr>
      </w:r>
    </w:p>
    <w:p>
      <w:pPr>
        <w:spacing w:after="120"/>
        <w:ind w:left="567" w:firstLine="0"/>
        <w:jc w:val="left"/>
      </w:pPr>
      <w:r>
        <w:rPr>
          <w:b/>
          <w:i w:val="0"/>
        </w:rPr>
        <w:t>I. KẾT LUẬN CHUNG</w:t>
      </w:r>
    </w:p>
    <w:p>
      <w:pPr>
        <w:spacing w:after="120"/>
        <w:ind w:firstLine="567"/>
        <w:jc w:val="both"/>
      </w:pPr>
      <w:r>
        <w:rPr>
          <w:b w:val="0"/>
          <w:i w:val="0"/>
        </w:rPr>
        <w:t>Hồ sơ đủ thành phần theo khoản 1 Điều 39 và đáp ứng các điều kiện tại Điều 38 Luật Quản lý, sử dụng vũ khí, vật liệu nổ và công cụ hỗ trợ ngày 29/6/2024; ba nội dung Sở Công Thương đã yêu cầu hoàn thiện tại Công văn số 4378/SCT-CN ngày 22/7/2026 về cơ bản đã được khắc phục. Đề nghị trình đồng chí Phó Giám đốc Sở ký ban hành Giấy phép, đồng thời xử lý các tồn tại hình thức nêu tại mục III theo hướng Sở tự ấn định trong Giấy phép, không yêu cầu doanh nghiệp nộp lại hồ sơ.</w:t>
      </w:r>
    </w:p>
    <w:p>
      <w:pPr>
        <w:spacing w:after="120"/>
        <w:ind w:left="567" w:firstLine="0"/>
        <w:jc w:val="left"/>
      </w:pPr>
      <w:r>
        <w:rPr>
          <w:b/>
          <w:i w:val="0"/>
        </w:rPr>
        <w:t>II. CÁC NỘI DUNG ĐÃ THẨM ĐỊNH ĐẠT YÊU CẦU</w:t>
      </w:r>
    </w:p>
    <w:p>
      <w:pPr>
        <w:spacing w:after="120"/>
        <w:ind w:firstLine="567"/>
        <w:jc w:val="both"/>
      </w:pPr>
      <w:r>
        <w:rPr>
          <w:b/>
        </w:rPr>
        <w:t>1. Thẩm quyền cấp phép.</w:t>
      </w:r>
      <w:r>
        <w:t xml:space="preserve"> Từ ngày 20/8/2026, Giám đốc Sở Công Thương cấp Giấy phép sử dụng vật liệu nổ công nghiệp theo ủy quyền tại Quyết định số 2867/QĐ-UBND ngày 17/8/2026 của Ủy ban nhân dân tỉnh Lào Cai. Giấy phép khai thác khoáng sản của Công ty do Bộ Tài nguyên và Môi trường cấp, nhưng đá hoa trắng làm bột carbonat canxi là khoáng sản nhóm II theo Luật Địa chất và khoáng sản, không thuộc trường hợp "tổ chức có Giấy phép hoạt động khoáng sản nhóm I do Bộ Nông nghiệp và Môi trường cấp" thuộc thẩm quyền của Cục Kỹ thuật an toàn và Môi trường công nghiệp theo khoản 1 Điều 4 Thông tư số 23/2024/TT-BCT (được thay thế tại khoản 1 Điều 1 Thông tư số 26/2026/TT-BCT). Hồ sơ thuộc thẩm quyền giải quyết của Sở.</w:t>
      </w:r>
    </w:p>
    <w:p>
      <w:pPr>
        <w:spacing w:after="120"/>
        <w:ind w:firstLine="567"/>
        <w:jc w:val="both"/>
      </w:pPr>
      <w:r>
        <w:rPr>
          <w:b/>
        </w:rPr>
        <w:t>2. Hoạt động khai thác hợp pháp và mặt bằng.</w:t>
      </w:r>
      <w:r>
        <w:t xml:space="preserve"> Giấy phép khai thác khoáng sản số 2010/GP-BTNMT ngày 19/10/2009, thời hạn 25 năm, diện tích 13,45 ha, công suất 300.000 tấn/năm; đất đai đã được chuyển mục đích sử dụng và cho thuê tại Quyết định số 884/QĐ-UBND ngày 26/6/2010 của Ủy ban nhân dân tỉnh Yên Bái và Hợp đồng thuê đất số 29/2010/HĐTĐ ngày 03/8/2010, diện tích 272.072,3 m</w:t>
      </w:r>
      <w:r>
        <w:rPr>
          <w:vertAlign w:val="superscript"/>
        </w:rPr>
        <w:t>2</w:t>
      </w:r>
      <w:r>
        <w:rPr/>
        <w:t>.</w:t>
      </w:r>
    </w:p>
    <w:p>
      <w:pPr>
        <w:spacing w:after="120"/>
        <w:ind w:firstLine="567"/>
        <w:jc w:val="both"/>
      </w:pPr>
      <w:r>
        <w:rPr>
          <w:b/>
        </w:rPr>
        <w:t>3. Giấy chứng nhận đủ điều kiện về an ninh, trật tự.</w:t>
      </w:r>
      <w:r>
        <w:t xml:space="preserve"> Số 26/GCN-CĐ1 ngày 24/5/2026 của Phòng Cảnh sát quản lý hành chính về trật tự xã hội - Công an tỉnh Lào Cai, giá trị sử dụng đến hết ngày 19/10/2034, ghi đúng ngành nghề sử dụng vật liệu nổ công nghiệp và đúng địa điểm mỏ đá hoa trắng thôn Làng Mới, xã Bảo Ái, tỉnh Lào Cai.</w:t>
      </w:r>
    </w:p>
    <w:p>
      <w:pPr>
        <w:spacing w:after="120"/>
        <w:ind w:firstLine="567"/>
        <w:jc w:val="both"/>
      </w:pPr>
      <w:r>
        <w:rPr>
          <w:b/>
        </w:rPr>
        <w:t>4. Hồ sơ thiết kế.</w:t>
      </w:r>
      <w:r>
        <w:t xml:space="preserve"> Đủ các bước theo pháp luật về xây dựng tại thời điểm lập: thiết kế cơ sở đã được Sở Công Thương tỉnh Yên Bái thẩm định tại văn bản số 199/TĐ-SCT năm 2009; thiết kế bản vẽ thi công xây dựng cơ bản và khai thác mỏ do chủ đầu tư phê duyệt tại Quyết định số 20/KT-MS ngày 06/01/2010. Sở tự kết luận về tính đủ bước của hồ sơ thiết kế, không lấy ý kiến cơ quan khác.</w:t>
      </w:r>
    </w:p>
    <w:p>
      <w:pPr>
        <w:spacing w:after="120"/>
        <w:ind w:firstLine="567"/>
        <w:jc w:val="both"/>
      </w:pPr>
      <w:r>
        <w:rPr>
          <w:b/>
        </w:rPr>
        <w:t>5. Kho bảo quản vật liệu nổ công nghiệp.</w:t>
      </w:r>
      <w:r>
        <w:t xml:space="preserve"> Công ty có kho tại khu vực mỏ; Sở Công Thương đã kiểm tra thực tế ngày 29/6/2026 và xác nhận kho bảo đảm QCVN 01:2019/BCT tại Công văn số 3883/SCT-CN ngày 30/6/2026. Hồ sơ kèm theo có Báo cáo kiểm định chất lượng kết cấu công trình ngày 09/6/2026 của Trung tâm Tư vấn giám sát và Quản lý dự án xây dựng tỉnh Lào Cai; Biên bản kiểm tra nghiệm thu hệ thống phòng cháy, chữa cháy (năm 2008, thời điểm đưa kho vào hoạt động); Giấy chứng nhận đủ điều kiện về phòng cháy và chữa cháy số 832/ĐK-PCCC ngày 29/12/2011 cho phép bảo quản 10.000 kg thuốc nổ và phụ kiện nổ kèm theo; Biên bản kiểm tra về phòng cháy, chữa cháy ngày 08/4/2026 của Phòng Cảnh sát phòng cháy, chữa cháy và cứu nạn, cứu hộ - Công an tỉnh Lào Cai, kết luận không phát hiện sai phạm, tồn tại. Điều kiện tại điểm đ khoản 1 Điều 39 (được sửa đổi tại khoản 6 Điều 9 Luật số 118/2025/QH15) đã được đáp ứng bằng văn bản nghiệm thu, không lấy biên bản kiểm tra định kỳ thay thế.</w:t>
      </w:r>
    </w:p>
    <w:p>
      <w:pPr>
        <w:spacing w:after="120"/>
        <w:ind w:firstLine="567"/>
        <w:jc w:val="both"/>
      </w:pPr>
      <w:r>
        <w:rPr>
          <w:b/>
        </w:rPr>
        <w:t>6. Nhân sự.</w:t>
      </w:r>
      <w:r>
        <w:t xml:space="preserve"> Đủ 08 người theo Danh sách số 01/2026-MS ngày 30/6/2026 và các Quyết định bổ nhiệm số 01, 02, 03, 04, 05/2026/QĐ-BN ngày 01/01/2026: giám đốc điều hành mỏ kiêm người quản lý Phạm Văn Đức (kỹ sư kỹ thuật mỏ), chỉ huy nổ mìn Nguyễn Ngọc Tú sinh ngày 22/10/1981 (kỹ sư địa chất công trình), thủ kho Nguyễn Ngọc Tú sinh ngày 12/5/1988 (cử nhân kinh tế), 02 thợ mìn và 03 người phục vụ. Giấy chứng nhận huấn luyện kỹ thuật an toàn vật liệu nổ công nghiệp do Sở Công Thương tỉnh Yên Bái cấp ngày 06/3/2025, hiệu lực đến ngày 06/3/2027.</w:t>
      </w:r>
    </w:p>
    <w:p>
      <w:pPr>
        <w:spacing w:after="120"/>
        <w:ind w:firstLine="567"/>
        <w:jc w:val="both"/>
      </w:pPr>
      <w:r>
        <w:rPr>
          <w:b/>
        </w:rPr>
        <w:t>7. Phương án nổ mìn.</w:t>
      </w:r>
      <w:r>
        <w:t xml:space="preserve"> Số 01/PANM-MS ngày 23/7/2026, do chỉ huy nổ mìn lập, người quản lý phê duyệt, Giám đốc Công ty ký đồng ý thực hiện; đủ nội dung theo Phụ lục VII Thông tư số 23/2024/TT-BCT. Bảng đối chiếu tại mục 3.5 chứng minh 09 thông số khoan nổ mìn đều nằm trong dải đường kính do thiết kế quy định hoặc nhỏ hơn thiết kế theo hướng giảm khối lượng thuốc nổ; quy mô một đợt nổ lấy theo trần Bảng tổng hợp chỉ tiêu thiết kế là 683 kg; số ngày làm việc 300 ngày/năm đã thống nhất với thiết kế; đã bổ sung ràng buộc khi lập hộ chiếu nổ mìn về khối lượng nổ tức thời không quá 403 kg. Số liệu nhu cầu theo tháng, quý quy đổi cả năm đã khớp.</w:t>
      </w:r>
    </w:p>
    <w:p>
      <w:pPr>
        <w:spacing w:after="120"/>
        <w:ind w:firstLine="567"/>
        <w:jc w:val="both"/>
      </w:pPr>
      <w:r>
        <w:rPr>
          <w:b/>
        </w:rPr>
        <w:t>8. Khoảng cách an toàn và diện phê duyệt Phương án nổ mìn.</w:t>
      </w:r>
      <w:r>
        <w:t xml:space="preserve"> Chấn động 61,6 m; sóng không khí 261,4 m; đá văng đối với người 300 m, đối với thiết bị, công trình 200 m (lỗ khoan con áp dụng mục 4.4 Phụ lục 7 kèm hệ số 1,5 về phía thấp hơn; lỗ khoan lớn áp dụng mục 4.5 và Bảng 7.9). Khoảng cách thực tế đến công trình, đối tượng cần bảo vệ gần nhất là 500 m, lớn hơn tất cả các giá trị nêu trên; hồ sơ không thuộc trường hợp phải được Chủ tịch Ủy ban nhân dân tỉnh phê duyệt Phương án nổ mìn theo điểm d khoản 2 Điều 38.</w:t>
      </w:r>
    </w:p>
    <w:p>
      <w:pPr>
        <w:spacing w:after="120"/>
        <w:ind w:firstLine="567"/>
        <w:jc w:val="both"/>
      </w:pPr>
      <w:r>
        <w:rPr>
          <w:b/>
        </w:rPr>
        <w:t>9. Số liệu ba khớp.</w:t>
      </w:r>
      <w:r>
        <w:t xml:space="preserve"> Khối lượng vật liệu nổ công nghiệp tại Giấy đề nghị, Bảng tổng hợp của Phương án nổ mìn và dự thảo Giấy phép thống nhất: thuốc nổ các loại 38.950 kg/năm; kíp nổ các loại 5.592 cái/năm; dây nổ chịu nước 21.850 m/năm.</w:t>
      </w:r>
    </w:p>
    <w:p>
      <w:pPr>
        <w:spacing w:after="120"/>
        <w:ind w:left="567" w:firstLine="0"/>
        <w:jc w:val="left"/>
      </w:pPr>
      <w:r>
        <w:rPr>
          <w:b/>
          <w:i w:val="0"/>
        </w:rPr>
        <w:t>III. CÁC TỒN TẠI CỦA HỒ SƠ - ĐỀ XUẤT SỞ TỰ XỬ LÝ, KHÔNG TRẢ LẠI HỒ SƠ</w:t>
      </w:r>
    </w:p>
    <w:p>
      <w:pPr>
        <w:spacing w:after="120"/>
        <w:ind w:firstLine="567"/>
        <w:jc w:val="both"/>
      </w:pPr>
      <w:r>
        <w:rPr>
          <w:b w:val="0"/>
          <w:i w:val="0"/>
        </w:rPr>
        <w:t>Các tồn tại dưới đây đều là sai khác nhỏ về hình thức, không làm thay đổi trị số kỹ thuật đã chốt và đều có thể ấn định ngay trong dự thảo Giấy phép:</w:t>
      </w:r>
    </w:p>
    <w:p>
      <w:pPr>
        <w:spacing w:after="120"/>
        <w:ind w:firstLine="567"/>
        <w:jc w:val="both"/>
      </w:pPr>
      <w:r>
        <w:rPr>
          <w:b w:val="0"/>
          <w:i w:val="0"/>
        </w:rPr>
        <w:t>1. Giấy đề nghị ngày 27/8/2026 không đánh số văn bản. Dự thảo Giấy phép và Phiếu trình viện dẫn theo ngày ban hành.</w:t>
      </w:r>
    </w:p>
    <w:p>
      <w:pPr>
        <w:spacing w:after="120"/>
        <w:ind w:firstLine="567"/>
        <w:jc w:val="both"/>
      </w:pPr>
      <w:r>
        <w:rPr>
          <w:b w:val="0"/>
          <w:i w:val="0"/>
        </w:rPr>
        <w:t>2. Giấy đề nghị ghi gộp số lượng kíp nổ 5.592 cái/năm cho cả kíp nổ điện vi sai và kíp nổ điện số 8. Theo tiền lệ ghi giấy phép đang áp dụng, chủng loại được liệt kê trong ngoặc và số lượng ghi gộp theo nhóm, vẫn thỏa mãn điểm a khoản 1 Điều 39; dự thảo Giấy phép ghi "kíp nổ các loại (kíp nổ điện vi sai; kíp nổ điện số 8): 5.592 cái" và "thuốc nổ các loại (thuốc nổ Amonit AD1; thuốc nổ Anfo): 38.950 kg". Số liệu tách theo từng chủng loại (kíp nổ điện vi sai 2.184 cái, kíp nổ điện số 8 3.408 cái) đã được tính toán đầy đủ tại mục 3.4.8 Phương án nổ mìn, lưu tại hồ sơ thẩm định.</w:t>
      </w:r>
    </w:p>
    <w:p>
      <w:pPr>
        <w:spacing w:after="120"/>
        <w:ind w:firstLine="567"/>
        <w:jc w:val="both"/>
      </w:pPr>
      <w:r>
        <w:rPr>
          <w:b w:val="0"/>
          <w:i w:val="0"/>
        </w:rPr>
        <w:t>3. Số điện thoại tại Giấy đề nghị (0814.646.666) khác số ghi tại Giấy chứng nhận đăng ký doanh nghiệp (0216.3885647; 0216.3886647). Dự thảo Giấy phép ghi theo Giấy chứng nhận đăng ký doanh nghiệp.</w:t>
      </w:r>
    </w:p>
    <w:p>
      <w:pPr>
        <w:spacing w:after="120"/>
        <w:ind w:firstLine="567"/>
        <w:jc w:val="both"/>
      </w:pPr>
      <w:r>
        <w:rPr>
          <w:b w:val="0"/>
          <w:i w:val="0"/>
        </w:rPr>
        <w:t>4. Địa danh trong hồ sơ chưa thống nhất: trang bìa Phương án nổ mìn ghi thôn Làng Mới, xã Bảo Ái, tỉnh Lào Cai; mục 2.1 và một số quyết định bổ nhiệm còn ghi thôn Làng Cạn, xã Mông Sơn, huyện Yên Bình, tỉnh Yên Bái. Toàn bộ văn bản của Sở thống nhất ghi thôn Làng Mới, xã Bảo Ái, tỉnh Lào Cai.</w:t>
      </w:r>
    </w:p>
    <w:p>
      <w:pPr>
        <w:spacing w:after="120"/>
        <w:ind w:firstLine="567"/>
        <w:jc w:val="both"/>
      </w:pPr>
      <w:r>
        <w:rPr>
          <w:b w:val="0"/>
          <w:i w:val="0"/>
        </w:rPr>
        <w:t>5. Tiêu đề mục 2.2 Phương án nổ mìn ghi phạm vi bán kính 1.000 m nhưng nội dung chỉ thống kê trong phạm vi 500 m tính từ ranh giới mỏ. Kết luận về diện phê duyệt không thay đổi vì 500 m đã lớn hơn mọi bán kính an toàn; đề nghị lưu ý doanh nghiệp bổ sung khi lập lại Phương án nổ mìn cho chu kỳ sau.</w:t>
      </w:r>
    </w:p>
    <w:p>
      <w:pPr>
        <w:spacing w:after="120"/>
        <w:ind w:firstLine="567"/>
        <w:jc w:val="both"/>
      </w:pPr>
      <w:r>
        <w:rPr>
          <w:b w:val="0"/>
          <w:i w:val="0"/>
        </w:rPr>
        <w:t>6. Phương án nổ mìn còn lỗi trình bày: mục 3.4.7 điểm c đặt công thức tính bán kính đá văng (kết quả 108 m) sau đoạn kết luận; Bảng tổng hợp thông số khoan nổ mìn đánh trùng số thứ tự 17 hai lần; mục 3.1 nêu máy khoan ROC-742HC, HCR-12/5 trong khi mục 1.2.2 và thực tế mỏ sử dụng máy BMK-4, BMK-3. Các lỗi này không ảnh hưởng trị số đã chốt.</w:t>
      </w:r>
    </w:p>
    <w:p>
      <w:pPr>
        <w:spacing w:after="120"/>
        <w:ind w:firstLine="567"/>
        <w:jc w:val="both"/>
      </w:pPr>
      <w:r>
        <w:rPr>
          <w:b w:val="0"/>
          <w:i w:val="0"/>
        </w:rPr>
        <w:t>7. Giấy ủy quyền ngày 20/4/2026 cho ông Lê Đức Minh chưa có chữ ký của người nhận ủy quyền; tuy nhiên Giấy đề nghị do người đại diện theo pháp luật trực tiếp ký nên không cần bổ sung.</w:t>
      </w:r>
    </w:p>
    <w:p>
      <w:pPr>
        <w:spacing w:after="120"/>
        <w:ind w:left="567" w:firstLine="0"/>
        <w:jc w:val="left"/>
      </w:pPr>
      <w:r>
        <w:rPr>
          <w:b/>
          <w:i w:val="0"/>
        </w:rPr>
        <w:t>IV. CÁC NỘI DUNG ĐÃ ĐƯỢC LÃNH ĐẠO PHÒNG CHO Ý KIẾN</w:t>
      </w:r>
    </w:p>
    <w:p>
      <w:pPr>
        <w:spacing w:after="120"/>
        <w:ind w:firstLine="567"/>
        <w:jc w:val="both"/>
      </w:pPr>
      <w:r>
        <w:rPr>
          <w:b w:val="0"/>
          <w:i w:val="0"/>
        </w:rPr>
        <w:t>1. Ngày ban hành của Kết quả thẩm định thiết kế cơ sở số 199/TĐ-SCT và ngày lập Biên bản kiểm tra nghiệm thu hệ thống phòng cháy, chữa cháy của kho đều ghi bằng chữ viết tay trên bản sao, chỉ xác định chắc chắn được năm ban hành. Các văn bản của Sở viện dẫn theo năm 2009 và năm 2008.</w:t>
      </w:r>
    </w:p>
    <w:p>
      <w:pPr>
        <w:spacing w:after="120"/>
        <w:ind w:firstLine="567"/>
        <w:jc w:val="both"/>
      </w:pPr>
      <w:r>
        <w:rPr>
          <w:b w:val="0"/>
          <w:i w:val="0"/>
        </w:rPr>
        <w:t>2. Khối ký của Phiếu trình giữ hai ô Trưởng phòng và Chuyên viên tham mưu, không bổ sung ô chuyên viên phối hợp.</w:t>
      </w:r>
    </w:p>
    <w:p>
      <w:pPr>
        <w:spacing w:after="120"/>
        <w:ind w:firstLine="567"/>
        <w:jc w:val="both"/>
      </w:pPr>
      <w:r>
        <w:rPr>
          <w:b w:val="0"/>
          <w:i w:val="0"/>
        </w:rPr>
        <w:t>3. Thời hạn Giấy phép: dự thảo ghi 05 năm kể từ ngày ký ban hành theo đề nghị của doanh nghiệp và đúng mức trần tại khoản 7 Điều 39 (không vượt thời hạn Giấy phép khai thác khoáng sản còn đến ngày 19/10/2034).</w:t>
      </w:r>
    </w:p>
    <w:p>
      <w:pPr>
        <w:spacing w:after="120"/>
        <w:ind w:left="567" w:firstLine="0"/>
        <w:jc w:val="left"/>
      </w:pPr>
      <w:r>
        <w:rPr>
          <w:b/>
          <w:i w:val="0"/>
        </w:rPr>
        <w:t>V. ĐIỂM KHÁC BIỆT SO VỚI KHUNG GÓI THẦU SỐ 14 NGÀY 27/8/2026</w:t>
      </w:r>
    </w:p>
    <w:p>
      <w:pPr>
        <w:spacing w:after="120"/>
        <w:ind w:firstLine="567"/>
        <w:jc w:val="both"/>
      </w:pPr>
      <w:r>
        <w:rPr>
          <w:b w:val="0"/>
          <w:i w:val="0"/>
        </w:rPr>
        <w:t>1. Tách Thông tư số 38/2025/TT-BCT và Thông tư số 26/2026/TT-BCT thành hai căn cứ riêng và bỏ cụm "về việc" trước "sửa đổi, bổ sung", do trích yếu của hai thông tư khác nhau.</w:t>
      </w:r>
    </w:p>
    <w:p>
      <w:pPr>
        <w:spacing w:after="120"/>
        <w:ind w:firstLine="567"/>
        <w:jc w:val="both"/>
      </w:pPr>
      <w:r>
        <w:rPr>
          <w:b w:val="0"/>
          <w:i w:val="0"/>
        </w:rPr>
        <w:t>2. Tách dòng "Trụ sở tại" và dòng "Điện thoại" thành hai dòng riêng, kết bằng dấu chấm phẩy, theo đúng kết cấu 05 dòng của Điều 1 Mẫu số 10 Phụ lục VIII Thông tư số 23/2024/TT-BCT.</w:t>
      </w:r>
    </w:p>
    <w:p>
      <w:pPr>
        <w:spacing w:after="120"/>
        <w:ind w:firstLine="567"/>
        <w:jc w:val="both"/>
      </w:pPr>
      <w:r>
        <w:rPr>
          <w:b w:val="0"/>
          <w:i w:val="0"/>
        </w:rPr>
        <w:t>3. Chỉ in đậm nhãn "Điều 1.", "Điều 3."; phần nội dung sau nhãn để chữ thường.</w:t>
      </w:r>
    </w:p>
    <w:p>
      <w:pPr>
        <w:spacing w:after="120"/>
        <w:ind w:firstLine="567"/>
        <w:jc w:val="both"/>
      </w:pPr>
      <w:r>
        <w:rPr>
          <w:b w:val="0"/>
          <w:i w:val="0"/>
        </w:rPr>
        <w:t>4. Do đây là hồ sơ mỏ khai thác khoáng sản (không phải công trình xây dựng), Điều 2 khoản 1 ghi địa điểm theo tên mỏ và Giấy phép khai thác khoáng sản; Điều 3 ghi thời hạn 05 năm thay vì ràng buộc theo tiến độ hợp đồng.</w:t>
      </w:r>
    </w:p>
    <w:p>
      <w:pPr>
        <w:spacing w:after="120"/>
        <w:ind w:firstLine="567"/>
        <w:jc w:val="both"/>
      </w:pPr>
      <w:r>
        <w:rPr>
          <w:b w:val="0"/>
          <w:i w:val="0"/>
        </w:rPr>
        <w:t>5. Bộ căn cứ còn lại giữ nguyên như bản Gói thầu số 14 để bảo đảm thống nhất với các giấy phép đã phát hành.</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