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pPr>
        <w:bidi w:val="0"/>
        <w:spacing w:before="120" w:beforeAutospacing="0" w:after="280" w:afterAutospacing="1"/>
        <w:jc w:val="right"/>
      </w:pPr>
      <w:bookmarkStart w:id="1049" w:name="chuong_pl_37"/>
      <w:r>
        <w:rPr>
          <w:b/>
          <w:bCs/>
          <w:u w:val="single"/>
          <w:rtl w:val="0"/>
        </w:rPr>
        <w:t>Mẫu số 12</w:t>
      </w:r>
      <w:bookmarkEnd w:id="1049"/>
    </w:p>
    <w:p>
      <w:pPr>
        <w:bidi w:val="0"/>
        <w:spacing w:before="120" w:beforeAutospacing="0" w:after="280" w:afterAutospacing="1"/>
        <w:jc w:val="center"/>
      </w:pPr>
      <w:bookmarkStart w:id="1050" w:name="chuong_pl_37_name"/>
      <w:r>
        <w:rPr>
          <w:b/>
          <w:bCs/>
          <w:rtl w:val="0"/>
        </w:rPr>
        <w:t>PHỤ LỤC XI</w:t>
      </w:r>
      <w:bookmarkEnd w:id="1050"/>
    </w:p>
    <w:p>
      <w:pPr>
        <w:bidi w:val="0"/>
        <w:spacing w:before="120" w:beforeAutospacing="0" w:after="280" w:afterAutospacing="1"/>
        <w:jc w:val="center"/>
      </w:pPr>
      <w:bookmarkStart w:id="1051" w:name="chuong_pl_37_name_name"/>
      <w:r>
        <w:rPr>
          <w:b/>
          <w:bCs/>
          <w:rtl w:val="0"/>
        </w:rPr>
        <w:t>Mẫu 11c. Mẫu Giấy chứng nhận đủ điều kiện hoạt động dịch vụ tồn trữ hóa chất</w:t>
      </w:r>
      <w:bookmarkEnd w:id="1051"/>
    </w:p>
    <w:p>
      <w:pPr>
        <w:bidi w:val="0"/>
        <w:spacing w:before="120" w:beforeAutospacing="0" w:after="280" w:afterAutospacing="1"/>
        <w:jc w:val="center"/>
      </w:pPr>
      <w:r>
        <w:rPr>
          <w:i/>
          <w:iCs/>
          <w:rtl w:val="0"/>
        </w:rPr>
        <w:t xml:space="preserve">(Thay thế Mẫu 11c Phụ lục XI kèm theo Thông tư số </w:t>
      </w:r>
      <w:bookmarkStart w:id="1052" w:name="tvpllink_uvrsubdrzl_26"/>
      <w:r>
        <w:rPr>
          <w:i/>
          <w:iCs/>
          <w:rtl w:val="0"/>
        </w:rPr>
        <w:t>01/2026/TT-BCT</w:t>
      </w:r>
      <w:bookmarkEnd w:id="1052"/>
      <w:r>
        <w:rPr>
          <w:i/>
          <w:iCs/>
          <w:rtl w:val="0"/>
        </w:rPr>
        <w:t>)</w:t>
      </w:r>
      <w:r>
        <w:rPr>
          <w:rtl w:val="0"/>
        </w:rPr>
        <w:t xml:space="preserve"> </w:t>
      </w:r>
    </w:p>
    <w:tbl>
      <w:tblPr>
        <w:tblW w:w="5000" w:type="pct"/>
        <w:jc w:val="left"/>
        <w:tblCellMar>
          <w:top w:w="0" w:type="dxa"/>
          <w:left w:w="0" w:type="dxa"/>
          <w:bottom w:w="0" w:type="dxa"/>
          <w:right w:w="0" w:type="dxa"/>
        </w:tblCellMar>
      </w:tblPr>
      <w:tblGrid>
        <w:gridCol w:w="3311"/>
        <w:gridCol w:w="5329"/>
      </w:tblGrid>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 xml:space="preserve">TÊN CƠ QUAN CẤP GCN </w:t>
            </w:r>
            <w:r>
              <w:rPr>
                <w:b/>
                <w:bCs/>
                <w:vertAlign w:val="superscript"/>
                <w:rtl w:val="0"/>
              </w:rPr>
              <w:t>(1)</w:t>
            </w:r>
            <w:r>
              <w:rPr>
                <w:rtl w:val="0"/>
              </w:rPr>
              <w:br/>
            </w:r>
            <w:r>
              <w:rPr>
                <w:b/>
                <w:bCs/>
                <w:rtl w:val="0"/>
              </w:rPr>
              <w:t>-------</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b/>
                <w:bCs/>
                <w:rtl w:val="0"/>
              </w:rPr>
              <w:t>CỘNG HÒA XÃ HỘI CHỦ NGHĨA VIỆT NAM</w:t>
            </w:r>
            <w:r>
              <w:rPr>
                <w:rtl w:val="0"/>
              </w:rPr>
              <w:br/>
            </w:r>
            <w:r>
              <w:rPr>
                <w:b/>
                <w:bCs/>
                <w:rtl w:val="0"/>
              </w:rPr>
              <w:t>Độc lập - Tự do - Hạnh phúc</w:t>
            </w:r>
            <w:r>
              <w:rPr>
                <w:rtl w:val="0"/>
              </w:rPr>
              <w:br/>
            </w:r>
            <w:r>
              <w:rPr>
                <w:b/>
                <w:bCs/>
                <w:rtl w:val="0"/>
              </w:rPr>
              <w:t>---------------</w:t>
            </w:r>
          </w:p>
        </w:tc>
      </w:tr>
      <w:tr>
        <w:tblPrEx>
          <w:tblW w:w="5000" w:type="pct"/>
          <w:jc w:val="left"/>
          <w:tblCellMar>
            <w:top w:w="0" w:type="dxa"/>
            <w:left w:w="0" w:type="dxa"/>
            <w:bottom w:w="0" w:type="dxa"/>
            <w:right w:w="0" w:type="dxa"/>
          </w:tblCellMar>
        </w:tblPrEx>
        <w:trPr>
          <w:jc w:val="left"/>
        </w:trPr>
        <w:tc>
          <w:tcPr>
            <w:tcW w:w="1916" w:type="pct"/>
            <w:shd w:val="clear" w:color="auto" w:fill="auto"/>
            <w:tcMar>
              <w:top w:w="45" w:type="dxa"/>
              <w:left w:w="45" w:type="dxa"/>
              <w:bottom w:w="45" w:type="dxa"/>
              <w:right w:w="45" w:type="dxa"/>
            </w:tcMar>
          </w:tcPr>
          <w:p>
            <w:pPr>
              <w:bidi w:val="0"/>
              <w:spacing w:before="120" w:beforeAutospacing="0" w:after="0" w:afterAutospacing="0"/>
              <w:jc w:val="center"/>
            </w:pPr>
            <w:r>
              <w:rPr>
                <w:rtl w:val="0"/>
              </w:rPr>
              <w:t>Số: .../GP-.....</w:t>
            </w:r>
            <w:r>
              <w:rPr>
                <w:vertAlign w:val="superscript"/>
                <w:rtl w:val="0"/>
              </w:rPr>
              <w:t>(2)</w:t>
            </w:r>
          </w:p>
        </w:tc>
        <w:tc>
          <w:tcPr>
            <w:tcW w:w="3084" w:type="pct"/>
            <w:shd w:val="clear" w:color="auto" w:fill="auto"/>
            <w:tcMar>
              <w:top w:w="45" w:type="dxa"/>
              <w:left w:w="45" w:type="dxa"/>
              <w:bottom w:w="45" w:type="dxa"/>
              <w:right w:w="45" w:type="dxa"/>
            </w:tcMar>
          </w:tcPr>
          <w:p>
            <w:pPr>
              <w:bidi w:val="0"/>
              <w:spacing w:before="120" w:beforeAutospacing="0" w:after="0" w:afterAutospacing="0"/>
              <w:jc w:val="center"/>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r>
        <w:rPr>
          <w:b/>
          <w:bCs/>
          <w:rtl w:val="0"/>
        </w:rPr>
        <w:t>GIẤY CHỨNG NHẬN ĐỦ ĐIỀU KIỆN HOẠT ĐỘNG DỊCH VỤ TỒN TRỮ HÓA CHẤT</w:t>
      </w:r>
    </w:p>
    <w:p>
      <w:pPr>
        <w:bidi w:val="0"/>
        <w:spacing w:before="120" w:beforeAutospacing="0" w:after="280" w:afterAutospacing="1"/>
        <w:jc w:val="center"/>
      </w:pPr>
      <w:r>
        <w:rPr>
          <w:b/>
          <w:bCs/>
          <w:rtl w:val="0"/>
        </w:rPr>
        <w:t xml:space="preserve">THỦ TRƯỞNG CƠ QUAN CẤP PHÉP </w:t>
      </w:r>
      <w:r>
        <w:rPr>
          <w:b/>
          <w:bCs/>
          <w:vertAlign w:val="superscript"/>
          <w:rtl w:val="0"/>
        </w:rPr>
        <w:t>(3)</w:t>
      </w:r>
      <w:r>
        <w:rPr>
          <w:rtl w:val="0"/>
        </w:rPr>
        <w:t xml:space="preserve"> </w:t>
      </w:r>
    </w:p>
    <w:p>
      <w:pPr>
        <w:bidi w:val="0"/>
        <w:spacing w:before="120" w:beforeAutospacing="0" w:after="280" w:afterAutospacing="1"/>
      </w:pPr>
      <w:r>
        <w:rPr>
          <w:i/>
          <w:iCs/>
          <w:rtl w:val="0"/>
        </w:rPr>
        <w:t xml:space="preserve">Căn cứ </w:t>
      </w:r>
      <w:bookmarkStart w:id="1053" w:name="tvpllink_cwtxipftos_46"/>
      <w:r>
        <w:rPr>
          <w:i/>
          <w:iCs/>
          <w:rtl w:val="0"/>
        </w:rPr>
        <w:t>Luật Hóa chất</w:t>
      </w:r>
      <w:bookmarkEnd w:id="1053"/>
      <w:r>
        <w:rPr>
          <w:i/>
          <w:iCs/>
          <w:rtl w:val="0"/>
        </w:rPr>
        <w:t xml:space="preserve"> ngày 14 tháng 6 năm 2025;</w:t>
      </w:r>
    </w:p>
    <w:p>
      <w:pPr>
        <w:bidi w:val="0"/>
        <w:spacing w:before="120" w:beforeAutospacing="0" w:after="280" w:afterAutospacing="1"/>
      </w:pPr>
      <w:r>
        <w:rPr>
          <w:i/>
          <w:iCs/>
          <w:rtl w:val="0"/>
        </w:rPr>
        <w:t xml:space="preserve">Căn cứ Nghị định số </w:t>
      </w:r>
      <w:bookmarkStart w:id="1054" w:name="tvpllink_ysfbzxwggh_18"/>
      <w:r>
        <w:rPr>
          <w:i/>
          <w:iCs/>
          <w:rtl w:val="0"/>
        </w:rPr>
        <w:t>26/2026/NĐ-CP</w:t>
      </w:r>
      <w:bookmarkEnd w:id="1054"/>
      <w:r>
        <w:rPr>
          <w:i/>
          <w:iCs/>
          <w:rtl w:val="0"/>
        </w:rPr>
        <w:t xml:space="preserve"> ngày 17 tháng 01 năm 2026 của Chính phủ quy định chi tiết và hướng dẫn thi hành một số điều của </w:t>
      </w:r>
      <w:bookmarkStart w:id="1055" w:name="tvpllink_cwtxipftos_47"/>
      <w:r>
        <w:rPr>
          <w:i/>
          <w:iCs/>
          <w:rtl w:val="0"/>
        </w:rPr>
        <w:t>Luật Hóa chất</w:t>
      </w:r>
      <w:bookmarkEnd w:id="1055"/>
      <w:r>
        <w:rPr>
          <w:i/>
          <w:iCs/>
          <w:rtl w:val="0"/>
        </w:rPr>
        <w:t xml:space="preserve"> về quản lý hoạt động hóa chất và hóa chất nguy hiểm trong sản phẩm, hàng hóa; Thông tư số </w:t>
      </w:r>
      <w:bookmarkStart w:id="1056" w:name="tvpllink_uvrsubdrzl_27"/>
      <w:r>
        <w:rPr>
          <w:i/>
          <w:iCs/>
          <w:rtl w:val="0"/>
        </w:rPr>
        <w:t>01/2026/TT-BCT</w:t>
      </w:r>
      <w:bookmarkEnd w:id="1056"/>
      <w:r>
        <w:rPr>
          <w:i/>
          <w:iCs/>
          <w:rtl w:val="0"/>
        </w:rPr>
        <w:t xml:space="preserve"> ngày 17 tháng 01 năm 2026 của Bộ trưởng Bộ Công Thương quy định chi tiết và hướng dẫn thi hành một số điều của </w:t>
      </w:r>
      <w:bookmarkStart w:id="1057" w:name="tvpllink_cwtxipftos_48"/>
      <w:r>
        <w:rPr>
          <w:i/>
          <w:iCs/>
          <w:rtl w:val="0"/>
        </w:rPr>
        <w:t>Luật Hóa chất</w:t>
      </w:r>
      <w:bookmarkEnd w:id="1057"/>
      <w:r>
        <w:rPr>
          <w:i/>
          <w:iCs/>
          <w:rtl w:val="0"/>
        </w:rPr>
        <w:t xml:space="preserve"> và Nghị định số </w:t>
      </w:r>
      <w:bookmarkStart w:id="1058" w:name="tvpllink_ysfbzxwggh_19"/>
      <w:r>
        <w:rPr>
          <w:i/>
          <w:iCs/>
          <w:rtl w:val="0"/>
        </w:rPr>
        <w:t>26/2026/NĐ-CP</w:t>
      </w:r>
      <w:bookmarkEnd w:id="1058"/>
      <w:r>
        <w:rPr>
          <w:i/>
          <w:iCs/>
          <w:rtl w:val="0"/>
        </w:rPr>
        <w:t xml:space="preserve"> của Chính phủ quy định chi tiết và hướng dẫn thi hành một số điều của </w:t>
      </w:r>
      <w:bookmarkStart w:id="1059" w:name="tvpllink_cwtxipftos_49"/>
      <w:r>
        <w:rPr>
          <w:i/>
          <w:iCs/>
          <w:rtl w:val="0"/>
        </w:rPr>
        <w:t>Luật Hóa chất</w:t>
      </w:r>
      <w:bookmarkEnd w:id="1059"/>
      <w:r>
        <w:rPr>
          <w:i/>
          <w:iCs/>
          <w:rtl w:val="0"/>
        </w:rPr>
        <w:t xml:space="preserve"> về quản lý hoạt động hóa chất và hóa chất nguy hiểm trong sản phẩm, hàng hóa;</w:t>
      </w:r>
    </w:p>
    <w:p>
      <w:pPr>
        <w:bidi w:val="0"/>
        <w:spacing w:before="120" w:beforeAutospacing="0" w:after="280" w:afterAutospacing="1"/>
      </w:pPr>
      <w:r>
        <w:rPr>
          <w:i/>
          <w:iCs/>
          <w:rtl w:val="0"/>
        </w:rPr>
        <w:t>Căn cứ ....................................</w:t>
      </w:r>
      <w:r>
        <w:rPr>
          <w:i/>
          <w:iCs/>
          <w:vertAlign w:val="superscript"/>
          <w:rtl w:val="0"/>
        </w:rPr>
        <w:t>(4)</w:t>
      </w:r>
      <w:r>
        <w:rPr>
          <w:i/>
          <w:iCs/>
          <w:rtl w:val="0"/>
        </w:rPr>
        <w:t>;</w:t>
      </w:r>
    </w:p>
    <w:p>
      <w:pPr>
        <w:bidi w:val="0"/>
        <w:spacing w:before="120" w:beforeAutospacing="0" w:after="280" w:afterAutospacing="1"/>
      </w:pPr>
      <w:r>
        <w:rPr>
          <w:i/>
          <w:iCs/>
          <w:rtl w:val="0"/>
        </w:rPr>
        <w:t xml:space="preserve">Xét hồ sơ đề nghị cấp Giấy chứng nhận đủ điều kiện hoạt động dịch vụ tồn trữ hóa chất của…….. </w:t>
      </w:r>
      <w:r>
        <w:rPr>
          <w:i/>
          <w:iCs/>
          <w:vertAlign w:val="superscript"/>
          <w:rtl w:val="0"/>
        </w:rPr>
        <w:t>(5)</w:t>
      </w:r>
      <w:r>
        <w:rPr>
          <w:i/>
          <w:iCs/>
          <w:rtl w:val="0"/>
        </w:rPr>
        <w:t>;</w:t>
      </w:r>
    </w:p>
    <w:p>
      <w:pPr>
        <w:bidi w:val="0"/>
        <w:spacing w:before="120" w:beforeAutospacing="0" w:after="280" w:afterAutospacing="1"/>
      </w:pPr>
      <w:r>
        <w:rPr>
          <w:i/>
          <w:iCs/>
          <w:rtl w:val="0"/>
        </w:rPr>
        <w:t>Theo đề nghị của...............................</w:t>
      </w:r>
      <w:r>
        <w:rPr>
          <w:i/>
          <w:iCs/>
          <w:vertAlign w:val="superscript"/>
          <w:rtl w:val="0"/>
        </w:rPr>
        <w:t>(6)</w:t>
      </w:r>
      <w:r>
        <w:rPr>
          <w:i/>
          <w:iCs/>
          <w:rtl w:val="0"/>
        </w:rPr>
        <w:t>.</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Điều 1.</w:t>
      </w:r>
      <w:r>
        <w:rPr>
          <w:rtl w:val="0"/>
        </w:rPr>
        <w:t xml:space="preserve"> Cho phép:</w:t>
      </w:r>
      <w:r>
        <w:rPr>
          <w:i/>
          <w:iCs/>
          <w:rtl w:val="0"/>
        </w:rPr>
        <w:t>..........................................................................................</w:t>
      </w:r>
      <w:r>
        <w:rPr>
          <w:vertAlign w:val="superscript"/>
          <w:rtl w:val="0"/>
        </w:rPr>
        <w:t>(5)</w:t>
      </w:r>
      <w:r>
        <w:rPr>
          <w:rtl w:val="0"/>
        </w:rPr>
        <w:t xml:space="preserve"> ;</w:t>
      </w:r>
    </w:p>
    <w:p>
      <w:pPr>
        <w:bidi w:val="0"/>
        <w:spacing w:before="120" w:beforeAutospacing="0" w:after="280" w:afterAutospacing="1"/>
      </w:pPr>
      <w:r>
        <w:rPr>
          <w:rtl w:val="0"/>
        </w:rPr>
        <w:t>1. Địa chỉ trụ sở chính:</w:t>
      </w:r>
      <w:r>
        <w:rPr>
          <w:i/>
          <w:iCs/>
          <w:rtl w:val="0"/>
        </w:rPr>
        <w:t>...............................</w:t>
      </w:r>
      <w:r>
        <w:rPr>
          <w:rtl w:val="0"/>
        </w:rPr>
        <w:t xml:space="preserve"> Điện thoại:</w:t>
      </w:r>
      <w:r>
        <w:rPr>
          <w:i/>
          <w:iCs/>
          <w:rtl w:val="0"/>
        </w:rPr>
        <w:t>.................................</w:t>
      </w:r>
      <w:r>
        <w:rPr>
          <w:rtl w:val="0"/>
        </w:rPr>
        <w:t xml:space="preserve"> ;</w:t>
      </w:r>
    </w:p>
    <w:p>
      <w:pPr>
        <w:bidi w:val="0"/>
        <w:spacing w:before="120" w:beforeAutospacing="0" w:after="280" w:afterAutospacing="1"/>
      </w:pPr>
      <w:r>
        <w:rPr>
          <w:rtl w:val="0"/>
        </w:rPr>
        <w:t>2. Địa chỉ kho tồn trữ hóa chất:</w:t>
      </w:r>
      <w:r>
        <w:rPr>
          <w:i/>
          <w:iCs/>
          <w:rtl w:val="0"/>
        </w:rPr>
        <w:t>.....................................................................</w:t>
      </w:r>
    </w:p>
    <w:p>
      <w:pPr>
        <w:bidi w:val="0"/>
        <w:spacing w:before="120" w:beforeAutospacing="0" w:after="280" w:afterAutospacing="1"/>
      </w:pPr>
      <w:r>
        <w:rPr>
          <w:rtl w:val="0"/>
        </w:rPr>
        <w:t>3. Diện tích kho tồn trữ hóa chất:</w:t>
      </w:r>
      <w:r>
        <w:rPr>
          <w:i/>
          <w:iCs/>
          <w:rtl w:val="0"/>
        </w:rPr>
        <w:t>......................................................................</w:t>
      </w:r>
    </w:p>
    <w:p>
      <w:pPr>
        <w:bidi w:val="0"/>
        <w:spacing w:before="120" w:beforeAutospacing="0" w:after="280" w:afterAutospacing="1"/>
      </w:pPr>
      <w:r>
        <w:rPr>
          <w:rtl w:val="0"/>
        </w:rPr>
        <w:t>4. Giấy chứng nhận đăng ký doanh nghiệp/Giấy chứng nhận đầu tư số: ... do.....cấp ngày ... tháng ... năm..</w:t>
      </w:r>
    </w:p>
    <w:p>
      <w:pPr>
        <w:bidi w:val="0"/>
        <w:spacing w:before="120" w:beforeAutospacing="0" w:after="280" w:afterAutospacing="1"/>
      </w:pPr>
      <w:r>
        <w:rPr>
          <w:rtl w:val="0"/>
        </w:rPr>
        <w:t>5. Mã số doanh nghiệp/thuế:</w:t>
      </w:r>
      <w:r>
        <w:rPr>
          <w:i/>
          <w:iCs/>
          <w:rtl w:val="0"/>
        </w:rPr>
        <w:t>...............................</w:t>
      </w:r>
    </w:p>
    <w:p>
      <w:pPr>
        <w:bidi w:val="0"/>
        <w:spacing w:before="120" w:beforeAutospacing="0" w:after="280" w:afterAutospacing="1"/>
      </w:pPr>
      <w:r>
        <w:rPr>
          <w:rtl w:val="0"/>
        </w:rPr>
        <w:t>6. Người đại diện pháp luật:</w:t>
      </w:r>
      <w:r>
        <w:rPr>
          <w:i/>
          <w:iCs/>
          <w:rtl w:val="0"/>
        </w:rPr>
        <w:t>...............................</w:t>
      </w:r>
      <w:r>
        <w:rPr>
          <w:rtl w:val="0"/>
        </w:rPr>
        <w:t xml:space="preserve"> chức vụ:</w:t>
      </w:r>
      <w:r>
        <w:rPr>
          <w:i/>
          <w:iCs/>
          <w:rtl w:val="0"/>
        </w:rPr>
        <w:t>...............................</w:t>
      </w:r>
    </w:p>
    <w:p>
      <w:pPr>
        <w:bidi w:val="0"/>
        <w:spacing w:before="120" w:beforeAutospacing="0" w:after="280" w:afterAutospacing="1"/>
      </w:pPr>
      <w:r>
        <w:rPr>
          <w:rtl w:val="0"/>
        </w:rPr>
        <w:t>Số CCCD/Hộ chiếu người đại diện theo pháp luật, ngày cấp:</w:t>
      </w:r>
      <w:r>
        <w:rPr>
          <w:i/>
          <w:iCs/>
          <w:rtl w:val="0"/>
        </w:rPr>
        <w:t>...............................</w:t>
      </w:r>
      <w:r>
        <w:rPr>
          <w:rtl w:val="0"/>
        </w:rPr>
        <w:t>Được phép hoạt động dịch vụ tồn trữ hóa chất với chủng loại, quy mô cụ thể như sau:</w:t>
      </w:r>
    </w:p>
    <w:p>
      <w:pPr>
        <w:bidi w:val="0"/>
        <w:spacing w:before="120" w:beforeAutospacing="0" w:after="280" w:afterAutospacing="1"/>
      </w:pPr>
      <w:r>
        <w:rPr>
          <w:rtl w:val="0"/>
        </w:rPr>
        <w:t xml:space="preserve">a. Theo nhóm hóa chất </w:t>
      </w:r>
      <w:r>
        <w:rPr>
          <w:vertAlign w:val="superscript"/>
          <w:rtl w:val="0"/>
        </w:rPr>
        <w:t>(7a)</w:t>
      </w:r>
    </w:p>
    <w:p>
      <w:pPr>
        <w:bidi w:val="0"/>
        <w:spacing w:before="120" w:beforeAutospacing="0" w:after="280" w:afterAutospacing="1"/>
      </w:pPr>
      <w:r>
        <w:rPr>
          <w:rtl w:val="0"/>
        </w:rPr>
        <w:t>Tên loại nhóm hóa chất:</w:t>
      </w:r>
      <w:r>
        <w:rPr>
          <w:i/>
          <w:iCs/>
          <w:rtl w:val="0"/>
        </w:rPr>
        <w:t>...............................</w:t>
      </w:r>
    </w:p>
    <w:p>
      <w:pPr>
        <w:bidi w:val="0"/>
        <w:spacing w:before="120" w:beforeAutospacing="0" w:after="280" w:afterAutospacing="1"/>
      </w:pPr>
      <w:r>
        <w:rPr>
          <w:rtl w:val="0"/>
        </w:rPr>
        <w:t>Quy mô tồn trữ tối đa tại một thời điểm (kg)</w:t>
      </w:r>
      <w:r>
        <w:rPr>
          <w:i/>
          <w:iCs/>
          <w:rtl w:val="0"/>
        </w:rPr>
        <w:t>...............................</w:t>
      </w:r>
    </w:p>
    <w:p>
      <w:pPr>
        <w:bidi w:val="0"/>
        <w:spacing w:before="120" w:beforeAutospacing="0" w:after="280" w:afterAutospacing="1"/>
      </w:pPr>
      <w:r>
        <w:rPr>
          <w:rtl w:val="0"/>
        </w:rPr>
        <w:t xml:space="preserve">b. Theo hóa chất </w:t>
      </w:r>
      <w:r>
        <w:rPr>
          <w:vertAlign w:val="superscript"/>
          <w:rtl w:val="0"/>
        </w:rPr>
        <w:t>(7b)</w:t>
      </w:r>
    </w:p>
    <w:p>
      <w:pPr>
        <w:bidi w:val="0"/>
        <w:spacing w:before="120" w:beforeAutospacing="0" w:after="280" w:afterAutospacing="1"/>
      </w:pPr>
      <w:r>
        <w:rPr>
          <w:rtl w:val="0"/>
        </w:rPr>
        <w:t>Tên hóa chất</w:t>
      </w:r>
      <w:r>
        <w:rPr>
          <w:i/>
          <w:iCs/>
          <w:rtl w:val="0"/>
        </w:rPr>
        <w:t>...............................</w:t>
      </w:r>
    </w:p>
    <w:p>
      <w:pPr>
        <w:bidi w:val="0"/>
        <w:spacing w:before="120" w:beforeAutospacing="0" w:after="280" w:afterAutospacing="1"/>
      </w:pPr>
      <w:r>
        <w:rPr>
          <w:rtl w:val="0"/>
        </w:rPr>
        <w:t>Hàm lượng %</w:t>
      </w:r>
      <w:r>
        <w:rPr>
          <w:i/>
          <w:iCs/>
          <w:rtl w:val="0"/>
        </w:rPr>
        <w:t>...............................</w:t>
      </w:r>
      <w:r>
        <w:rPr>
          <w:rtl w:val="0"/>
        </w:rPr>
        <w:t>......................................................................................</w:t>
      </w:r>
    </w:p>
    <w:p>
      <w:pPr>
        <w:bidi w:val="0"/>
        <w:spacing w:before="120" w:beforeAutospacing="0" w:after="280" w:afterAutospacing="1"/>
      </w:pPr>
      <w:r>
        <w:rPr>
          <w:rtl w:val="0"/>
        </w:rPr>
        <w:t>Mã số CAS:</w:t>
      </w:r>
      <w:r>
        <w:rPr>
          <w:i/>
          <w:iCs/>
          <w:rtl w:val="0"/>
        </w:rPr>
        <w:t>........................................................................................................................</w:t>
      </w:r>
    </w:p>
    <w:p>
      <w:pPr>
        <w:bidi w:val="0"/>
        <w:spacing w:before="120" w:beforeAutospacing="0" w:after="280" w:afterAutospacing="1"/>
      </w:pPr>
      <w:r>
        <w:rPr>
          <w:rtl w:val="0"/>
        </w:rPr>
        <w:t>Công thức hóa học:</w:t>
      </w:r>
      <w:r>
        <w:rPr>
          <w:i/>
          <w:iCs/>
          <w:rtl w:val="0"/>
        </w:rPr>
        <w:t>.........................................................................................................</w:t>
      </w:r>
    </w:p>
    <w:p>
      <w:pPr>
        <w:bidi w:val="0"/>
        <w:spacing w:before="120" w:beforeAutospacing="0" w:after="280" w:afterAutospacing="1"/>
      </w:pPr>
      <w:r>
        <w:rPr>
          <w:rtl w:val="0"/>
        </w:rPr>
        <w:t>Quy mô tồn trữ tối đa tại một thời điểm (kg)</w:t>
      </w:r>
    </w:p>
    <w:p>
      <w:pPr>
        <w:bidi w:val="0"/>
        <w:spacing w:before="120" w:beforeAutospacing="0" w:after="280" w:afterAutospacing="1"/>
      </w:pPr>
      <w:r>
        <w:rPr>
          <w:b/>
          <w:bCs/>
          <w:rtl w:val="0"/>
        </w:rPr>
        <w:t>Điều 2</w:t>
      </w:r>
      <w:r>
        <w:rPr>
          <w:rtl w:val="0"/>
        </w:rPr>
        <w:t xml:space="preserve">. </w:t>
      </w:r>
      <w:r>
        <w:rPr>
          <w:vertAlign w:val="superscript"/>
          <w:rtl w:val="0"/>
        </w:rPr>
        <w:t>(5)</w:t>
      </w:r>
      <w:r>
        <w:rPr>
          <w:rtl w:val="0"/>
        </w:rPr>
        <w:t xml:space="preserve"> ........................... phải thực hiện đúng các quy định tại các văn bản sau đây:</w:t>
      </w:r>
    </w:p>
    <w:p>
      <w:pPr>
        <w:bidi w:val="0"/>
        <w:spacing w:before="120" w:beforeAutospacing="0" w:after="280" w:afterAutospacing="1"/>
      </w:pPr>
      <w:r>
        <w:rPr>
          <w:rtl w:val="0"/>
        </w:rPr>
        <w:t xml:space="preserve">- </w:t>
      </w:r>
      <w:bookmarkStart w:id="1060" w:name="tvpllink_cwtxipftos_50"/>
      <w:r>
        <w:rPr>
          <w:rtl w:val="0"/>
        </w:rPr>
        <w:t>Luật Hóa chất số 69/2025/QH15</w:t>
      </w:r>
      <w:bookmarkEnd w:id="1060"/>
      <w:r>
        <w:rPr>
          <w:rtl w:val="0"/>
        </w:rPr>
        <w:t>;</w:t>
      </w:r>
    </w:p>
    <w:p>
      <w:pPr>
        <w:bidi w:val="0"/>
        <w:spacing w:before="120" w:beforeAutospacing="0" w:after="280" w:afterAutospacing="1"/>
      </w:pPr>
      <w:r>
        <w:rPr>
          <w:rtl w:val="0"/>
        </w:rPr>
        <w:t xml:space="preserve">- Nghị định số </w:t>
      </w:r>
      <w:bookmarkStart w:id="1061" w:name="tvpllink_ysfbzxwggh_20"/>
      <w:r>
        <w:rPr>
          <w:rtl w:val="0"/>
        </w:rPr>
        <w:t>26/2026/NĐ-CP</w:t>
      </w:r>
      <w:bookmarkEnd w:id="1061"/>
      <w:r>
        <w:rPr>
          <w:rtl w:val="0"/>
        </w:rPr>
        <w:t xml:space="preserve"> ngày 17 tháng 01 năm 2026 của Chính phủ quy định chi tiết và hướng dẫn thi hành một số điều của </w:t>
      </w:r>
      <w:bookmarkStart w:id="1062" w:name="tvpllink_cwtxipftos_51"/>
      <w:r>
        <w:rPr>
          <w:rtl w:val="0"/>
        </w:rPr>
        <w:t>Luật Hóa chất</w:t>
      </w:r>
      <w:bookmarkEnd w:id="1062"/>
      <w:r>
        <w:rPr>
          <w:rtl w:val="0"/>
        </w:rPr>
        <w:t xml:space="preserve"> về quản lý hoạt động hóa chất và hóa chất nguy hiểm trong sản phẩm, hàng hóa;</w:t>
      </w:r>
    </w:p>
    <w:p>
      <w:pPr>
        <w:bidi w:val="0"/>
        <w:spacing w:before="120" w:beforeAutospacing="0" w:after="280" w:afterAutospacing="1"/>
      </w:pPr>
      <w:r>
        <w:rPr>
          <w:rtl w:val="0"/>
        </w:rPr>
        <w:t>- Các quy định về vận chuyển hàng hóa nguy hiểm, phòng cháy, chữa cháy và cứu nạn, cứu hộ, bảo vệ môi trường và các quy định khác có liên quan.</w:t>
      </w:r>
    </w:p>
    <w:p>
      <w:pPr>
        <w:bidi w:val="0"/>
        <w:spacing w:before="120" w:beforeAutospacing="0" w:after="280" w:afterAutospacing="1"/>
      </w:pPr>
      <w:r>
        <w:rPr>
          <w:b/>
          <w:bCs/>
          <w:rtl w:val="0"/>
        </w:rPr>
        <w:t xml:space="preserve">Điều 3. </w:t>
      </w:r>
      <w:r>
        <w:rPr>
          <w:vertAlign w:val="superscript"/>
          <w:rtl w:val="0"/>
        </w:rPr>
        <w:t>(5)</w:t>
      </w:r>
      <w:r>
        <w:rPr>
          <w:rtl w:val="0"/>
        </w:rPr>
        <w:t>..................... phải đảm bảo điều kiện sử dụng Giấy chứng nhận hoạt động dịch vụ tồn trữ hóa chất sau đây:</w:t>
      </w:r>
    </w:p>
    <w:p>
      <w:pPr>
        <w:bidi w:val="0"/>
        <w:spacing w:before="120" w:beforeAutospacing="0" w:after="280" w:afterAutospacing="1"/>
      </w:pPr>
      <w:r>
        <w:rPr>
          <w:rtl w:val="0"/>
        </w:rPr>
        <w:t>- Lưu Giấy chứng nhận tại trụ sở chính và xuất trình Giấy chứng nhận khi được cơ quan có thẩm quyền yêu cầu;</w:t>
      </w:r>
    </w:p>
    <w:p>
      <w:pPr>
        <w:bidi w:val="0"/>
        <w:spacing w:before="120" w:beforeAutospacing="0" w:after="280" w:afterAutospacing="1"/>
      </w:pPr>
      <w:r>
        <w:rPr>
          <w:rtl w:val="0"/>
        </w:rPr>
        <w:t>- Không được tẩy xóa, sửa chữa nội dung trong Giấy chứng nhận;</w:t>
      </w:r>
    </w:p>
    <w:p>
      <w:pPr>
        <w:bidi w:val="0"/>
        <w:spacing w:before="120" w:beforeAutospacing="0" w:after="280" w:afterAutospacing="1"/>
      </w:pPr>
      <w:r>
        <w:rPr>
          <w:rtl w:val="0"/>
        </w:rPr>
        <w:t>- Không được chuyển nhượng, cho thuê, cho mượn, cầm cố Giấy chứng nhận;</w:t>
      </w:r>
    </w:p>
    <w:p>
      <w:pPr>
        <w:bidi w:val="0"/>
        <w:spacing w:before="120" w:beforeAutospacing="0" w:after="280" w:afterAutospacing="1"/>
      </w:pPr>
      <w:r>
        <w:rPr>
          <w:rtl w:val="0"/>
        </w:rPr>
        <w:t xml:space="preserve">- Báo cáo </w:t>
      </w:r>
      <w:r>
        <w:rPr>
          <w:i/>
          <w:iCs/>
          <w:rtl w:val="0"/>
        </w:rPr>
        <w:t>...............................</w:t>
      </w:r>
      <w:r>
        <w:rPr>
          <w:vertAlign w:val="superscript"/>
          <w:rtl w:val="0"/>
        </w:rPr>
        <w:t>(1)</w:t>
      </w:r>
      <w:r>
        <w:rPr>
          <w:rtl w:val="0"/>
        </w:rPr>
        <w:t xml:space="preserve"> khi có sự thay đổi điều kiện của đơn vị được cấp Giấy chứng nhận (Đăng ký kinh doanh, mã số thuế, địa điểm, quy mô...);</w:t>
      </w:r>
    </w:p>
    <w:p>
      <w:pPr>
        <w:bidi w:val="0"/>
        <w:spacing w:before="120" w:beforeAutospacing="0" w:after="280" w:afterAutospacing="1"/>
      </w:pPr>
      <w:r>
        <w:rPr>
          <w:rtl w:val="0"/>
        </w:rPr>
        <w:t xml:space="preserve">- Báo cáo </w:t>
      </w:r>
      <w:r>
        <w:rPr>
          <w:i/>
          <w:iCs/>
          <w:rtl w:val="0"/>
        </w:rPr>
        <w:t>...............................</w:t>
      </w:r>
      <w:r>
        <w:rPr>
          <w:vertAlign w:val="superscript"/>
          <w:rtl w:val="0"/>
        </w:rPr>
        <w:t>(1)</w:t>
      </w:r>
      <w:r>
        <w:rPr>
          <w:rtl w:val="0"/>
        </w:rPr>
        <w:t xml:space="preserve"> khi chấm dứt hoạt động;</w:t>
      </w:r>
    </w:p>
    <w:p>
      <w:pPr>
        <w:bidi w:val="0"/>
        <w:spacing w:before="120" w:beforeAutospacing="0" w:after="280" w:afterAutospacing="1"/>
      </w:pPr>
      <w:r>
        <w:rPr>
          <w:rtl w:val="0"/>
        </w:rPr>
        <w:t>- Chỉ được phép hoạt động dịch vụ tồn trữ hóa chất với quy mô tồn trữ, diện tích tồn trữ đã được cấp Giấy chứng nhận;</w:t>
      </w:r>
    </w:p>
    <w:p>
      <w:pPr>
        <w:bidi w:val="0"/>
        <w:spacing w:before="120" w:beforeAutospacing="0" w:after="280" w:afterAutospacing="1"/>
      </w:pPr>
      <w:r>
        <w:rPr>
          <w:rtl w:val="0"/>
        </w:rPr>
        <w:t>- Nộp lại Giấy chứng nhận tại cơ quan cấp Giấy chứng nhận khi hết hạn sử dụng;</w:t>
      </w:r>
    </w:p>
    <w:p>
      <w:pPr>
        <w:bidi w:val="0"/>
        <w:spacing w:before="120" w:beforeAutospacing="0" w:after="280" w:afterAutospacing="1"/>
      </w:pPr>
      <w:r>
        <w:rPr>
          <w:b/>
          <w:bCs/>
          <w:rtl w:val="0"/>
        </w:rPr>
        <w:t>Điều 4.</w:t>
      </w:r>
      <w:r>
        <w:rPr>
          <w:rtl w:val="0"/>
        </w:rPr>
        <w:t xml:space="preserve"> Giấy chứng nhận này có hiệu lực thi hành kể từ ngày ký và có giá trị đến ngày</w:t>
      </w:r>
      <w:r>
        <w:rPr>
          <w:i/>
          <w:iCs/>
          <w:rtl w:val="0"/>
        </w:rPr>
        <w:t>...............................</w:t>
      </w:r>
      <w:r>
        <w:rPr>
          <w:vertAlign w:val="superscript"/>
          <w:rtl w:val="0"/>
        </w:rPr>
        <w:t>(8)</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910"/>
        <w:gridCol w:w="4730"/>
      </w:tblGrid>
      <w:tr>
        <w:tblPrEx>
          <w:tblW w:w="5000" w:type="pct"/>
          <w:jc w:val="left"/>
          <w:tblCellMar>
            <w:top w:w="0" w:type="dxa"/>
            <w:left w:w="0" w:type="dxa"/>
            <w:bottom w:w="0" w:type="dxa"/>
            <w:right w:w="0" w:type="dxa"/>
          </w:tblCellMar>
        </w:tblPrEx>
        <w:trPr>
          <w:jc w:val="left"/>
        </w:trPr>
        <w:tc>
          <w:tcPr>
            <w:tcW w:w="3945" w:type="dxa"/>
            <w:shd w:val="clear" w:color="auto" w:fill="auto"/>
            <w:tcMar>
              <w:top w:w="45" w:type="dxa"/>
              <w:left w:w="45" w:type="dxa"/>
              <w:bottom w:w="45" w:type="dxa"/>
              <w:right w:w="45" w:type="dxa"/>
            </w:tcMar>
          </w:tcPr>
          <w:p>
            <w:pPr>
              <w:bidi w:val="0"/>
              <w:spacing w:before="120" w:beforeAutospacing="0" w:after="0" w:afterAutospacing="0"/>
            </w:pPr>
            <w:r>
              <w:rPr>
                <w:b/>
                <w:bCs/>
                <w:i/>
                <w:iCs/>
                <w:rtl w:val="0"/>
              </w:rPr>
              <w:br/>
            </w:r>
            <w:r>
              <w:rPr>
                <w:b/>
                <w:bCs/>
                <w:i/>
                <w:iCs/>
                <w:rtl w:val="0"/>
              </w:rPr>
              <w:t>Nơi nhận:</w:t>
            </w:r>
            <w:r>
              <w:rPr>
                <w:rtl w:val="0"/>
              </w:rPr>
              <w:br/>
            </w:r>
            <w:r>
              <w:rPr>
                <w:rtl w:val="0"/>
              </w:rPr>
              <w:t>- Như Điều 1;</w:t>
            </w:r>
            <w:r>
              <w:rPr>
                <w:rtl w:val="0"/>
              </w:rPr>
              <w:br/>
            </w:r>
            <w:r>
              <w:rPr>
                <w:rtl w:val="0"/>
              </w:rPr>
              <w:t xml:space="preserve">- Bộ Công Thương (Cục Hóa chất) </w:t>
            </w:r>
            <w:r>
              <w:rPr>
                <w:vertAlign w:val="superscript"/>
                <w:rtl w:val="0"/>
              </w:rPr>
              <w:t>(9)</w:t>
            </w:r>
            <w:r>
              <w:rPr>
                <w:rtl w:val="0"/>
              </w:rPr>
              <w:t>;</w:t>
            </w:r>
            <w:r>
              <w:rPr>
                <w:rtl w:val="0"/>
              </w:rPr>
              <w:br/>
            </w:r>
            <w:r>
              <w:rPr>
                <w:rtl w:val="0"/>
              </w:rPr>
              <w:t xml:space="preserve">- UBND cấp tỉnh </w:t>
            </w:r>
            <w:r>
              <w:rPr>
                <w:vertAlign w:val="superscript"/>
                <w:rtl w:val="0"/>
              </w:rPr>
              <w:t>(10)</w:t>
            </w:r>
            <w:r>
              <w:rPr>
                <w:rtl w:val="0"/>
              </w:rPr>
              <w:t>;</w:t>
            </w:r>
            <w:r>
              <w:rPr>
                <w:rtl w:val="0"/>
              </w:rPr>
              <w:br/>
            </w:r>
            <w:r>
              <w:rPr>
                <w:rtl w:val="0"/>
              </w:rPr>
              <w:t>- Lưu: ......;</w:t>
            </w:r>
          </w:p>
        </w:tc>
        <w:tc>
          <w:tcPr>
            <w:tcW w:w="4785" w:type="dxa"/>
            <w:shd w:val="clear" w:color="auto" w:fill="auto"/>
            <w:tcMar>
              <w:top w:w="45" w:type="dxa"/>
              <w:left w:w="45" w:type="dxa"/>
              <w:bottom w:w="45" w:type="dxa"/>
              <w:right w:w="45" w:type="dxa"/>
            </w:tcMar>
          </w:tcPr>
          <w:p>
            <w:pPr>
              <w:bidi w:val="0"/>
              <w:spacing w:before="120" w:beforeAutospacing="0" w:after="0" w:afterAutospacing="0"/>
              <w:ind w:left="0" w:right="0"/>
              <w:jc w:val="center"/>
            </w:pPr>
            <w:r>
              <w:rPr>
                <w:b/>
                <w:bCs/>
                <w:rtl w:val="0"/>
              </w:rPr>
              <w:t>THỦ TRƯỞNG CƠ QUAN CẤP PHÉP</w:t>
            </w:r>
            <w:r>
              <w:rPr>
                <w:b/>
                <w:bCs/>
                <w:vertAlign w:val="superscript"/>
                <w:rtl w:val="0"/>
              </w:rPr>
              <w:t>(3)</w:t>
            </w:r>
            <w:r>
              <w:rPr>
                <w:rtl w:val="0"/>
              </w:rPr>
              <w:br/>
            </w:r>
            <w:r>
              <w:rPr>
                <w:i/>
                <w:iCs/>
                <w:rtl w:val="0"/>
              </w:rPr>
              <w:t>(Ký tên và đóng dấu)</w:t>
            </w:r>
          </w:p>
        </w:tc>
      </w:tr>
    </w:tbl>
    <w:p>
      <w:pPr>
        <w:bidi w:val="0"/>
        <w:spacing w:before="120" w:beforeAutospacing="0" w:after="280" w:afterAutospacing="1"/>
      </w:pPr>
      <w:r>
        <w:rPr>
          <w:i/>
          <w:iCs/>
          <w:rtl w:val="0"/>
        </w:rPr>
        <w:t>Ghi chú:</w:t>
      </w:r>
    </w:p>
    <w:p>
      <w:pPr>
        <w:bidi w:val="0"/>
        <w:spacing w:before="120" w:beforeAutospacing="0" w:after="280" w:afterAutospacing="1"/>
      </w:pPr>
      <w:r>
        <w:rPr>
          <w:rtl w:val="0"/>
        </w:rPr>
        <w:t>- (1): Tên cơ quan cấp giấy chứng nhận đủ điều kiện hoạt động dịch vụ tồn trữ hóa chất;</w:t>
      </w:r>
    </w:p>
    <w:p>
      <w:pPr>
        <w:bidi w:val="0"/>
        <w:spacing w:before="120" w:beforeAutospacing="0" w:after="280" w:afterAutospacing="1"/>
      </w:pPr>
      <w:r>
        <w:rPr>
          <w:rtl w:val="0"/>
        </w:rPr>
        <w:t>- (2): Ký hiệu văn bản Giấy chứng nhận;</w:t>
      </w:r>
    </w:p>
    <w:p>
      <w:pPr>
        <w:bidi w:val="0"/>
        <w:spacing w:before="120" w:beforeAutospacing="0" w:after="280" w:afterAutospacing="1"/>
      </w:pPr>
      <w:r>
        <w:rPr>
          <w:rtl w:val="0"/>
        </w:rPr>
        <w:t>- (3): Chức danh thủ trưởng cơ quan cấp Giấy chứng nhận;</w:t>
      </w:r>
    </w:p>
    <w:p>
      <w:pPr>
        <w:bidi w:val="0"/>
        <w:spacing w:before="120" w:beforeAutospacing="0" w:after="280" w:afterAutospacing="1"/>
      </w:pPr>
      <w:r>
        <w:rPr>
          <w:rtl w:val="0"/>
        </w:rPr>
        <w:t>- (4): Căn cứ pháp lý khác liên quan (nếu có);</w:t>
      </w:r>
    </w:p>
    <w:p>
      <w:pPr>
        <w:bidi w:val="0"/>
        <w:spacing w:before="120" w:beforeAutospacing="0" w:after="280" w:afterAutospacing="1"/>
      </w:pPr>
      <w:r>
        <w:rPr>
          <w:rtl w:val="0"/>
        </w:rPr>
        <w:t>- (5): Tên tổ chức đăng ký cấp Giấy chứng nhận;</w:t>
      </w:r>
    </w:p>
    <w:p>
      <w:pPr>
        <w:bidi w:val="0"/>
        <w:spacing w:before="120" w:beforeAutospacing="0" w:after="280" w:afterAutospacing="1"/>
      </w:pPr>
      <w:r>
        <w:rPr>
          <w:rtl w:val="0"/>
        </w:rPr>
        <w:t>- (6): Thông tin chức danh Lãnh đạo đơn vị thụ lý hồ sơ cấp Giấy chứng nhận;</w:t>
      </w:r>
    </w:p>
    <w:p>
      <w:pPr>
        <w:bidi w:val="0"/>
        <w:spacing w:before="120" w:beforeAutospacing="0" w:after="280" w:afterAutospacing="1"/>
      </w:pPr>
      <w:r>
        <w:rPr>
          <w:rtl w:val="0"/>
        </w:rPr>
        <w:t>- (7a), (7b): Tổ chức lựa chọn kê khai theo nhóm hoặc kê khai theo đơn chất cho phù hợp hoạt động của đơn vị.</w:t>
      </w:r>
    </w:p>
    <w:p>
      <w:pPr>
        <w:bidi w:val="0"/>
        <w:spacing w:before="120" w:beforeAutospacing="0" w:after="280" w:afterAutospacing="1"/>
      </w:pPr>
      <w:r>
        <w:rPr>
          <w:rtl w:val="0"/>
        </w:rPr>
        <w:t>- (8): Ghi cụ thể thời hạn giấy chứng nhận. Trường hợp cấp lại/cấp điều chỉnh, giấy chứng nhận cũ phải được thay thế, ghi cụ thể Giấy chứng nhận này thay thế Giấy chứng nhận số.... ngày...tháng...năm....;</w:t>
      </w:r>
    </w:p>
    <w:p>
      <w:pPr>
        <w:bidi w:val="0"/>
        <w:spacing w:before="120" w:beforeAutospacing="0" w:after="280" w:afterAutospacing="1"/>
      </w:pPr>
      <w:r>
        <w:rPr>
          <w:rtl w:val="0"/>
        </w:rPr>
        <w:t>- (9): Gửi Cục Hóa chất - Bộ Công Thương trong trường hợp Giấy chứng nhận đủ điều kiện hoạt động dịch vụ tồn trữ do UBND cấp tỉnh cấp;</w:t>
      </w:r>
    </w:p>
    <w:p>
      <w:pPr>
        <w:bidi w:val="0"/>
        <w:spacing w:before="120" w:beforeAutospacing="0" w:after="280" w:afterAutospacing="1"/>
      </w:pPr>
      <w:r>
        <w:rPr>
          <w:rtl w:val="0"/>
        </w:rPr>
        <w:t>- (10): Cơ quan có thẩm quyền cấp gửi bản sao Giấy chứng nhận đến Ủy ban nhân dân cấp tỉnh nơi tổ chức đặt trụ sở chính và Ủy ban nhân dân cấp tỉnh nơi tổ chức đặt cơ sở tồn trữ hóa chất để phối hợp theo dõi, quản lý;</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