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29F4" w:rsidRDefault="00086BC8" w:rsidP="00381DEE">
      <w:pPr>
        <w:shd w:val="clear" w:color="auto" w:fill="FFFFFF"/>
        <w:spacing w:after="120" w:line="240" w:lineRule="auto"/>
        <w:jc w:val="center"/>
        <w:outlineLvl w:val="0"/>
        <w:rPr>
          <w:b/>
          <w:bCs/>
          <w:sz w:val="26"/>
          <w:szCs w:val="26"/>
        </w:rPr>
      </w:pPr>
      <w:r>
        <w:rPr>
          <w:b/>
        </w:rPr>
        <w:t>CỘNG HÒA XÃ HỘI CHỦ NGHĨA VIỆT NAM</w:t>
      </w:r>
      <w:r>
        <w:rPr>
          <w:b/>
          <w:sz w:val="26"/>
        </w:rPr>
        <w:br/>
      </w:r>
      <w:r>
        <w:rPr>
          <w:b/>
        </w:rPr>
        <w:t>Độc lập – Tự do – Hạnh phúc</w:t>
      </w:r>
    </w:p>
    <w:p w:rsidR="002329F4" w:rsidRDefault="00381DEE" w:rsidP="00381DEE">
      <w:pPr>
        <w:shd w:val="clear" w:color="auto" w:fill="FFFFFF"/>
        <w:spacing w:after="0" w:line="240" w:lineRule="auto"/>
        <w:jc w:val="center"/>
        <w:outlineLvl w:val="0"/>
        <w:rPr>
          <w:b/>
          <w:bCs/>
          <w:sz w:val="26"/>
          <w:szCs w:val="26"/>
          <w:lang w:val="vi-VN"/>
        </w:rPr>
      </w:pPr>
      <w:r>
        <w:rPr>
          <w:b/>
          <w:noProof/>
          <w:lang w:eastAsia="en-US"/>
        </w:rPr>
        <w:pict>
          <v:shapetype id="_x0000_t32" coordsize="21600,21600" o:spt="32" o:oned="t" path="m,l21600,21600e" filled="f">
            <v:path arrowok="t" fillok="f" o:connecttype="none"/>
            <o:lock v:ext="edit" shapetype="t"/>
          </v:shapetype>
          <v:shape id="_x0000_s1026" type="#_x0000_t32" style="position:absolute;left:0;text-align:left;margin-left:170.45pt;margin-top:.1pt;width:99.5pt;height:0;z-index:1" o:connectortype="straight"/>
        </w:pict>
      </w:r>
    </w:p>
    <w:p w:rsidR="002329F4" w:rsidRDefault="00086BC8" w:rsidP="00381DEE">
      <w:pPr>
        <w:shd w:val="clear" w:color="auto" w:fill="FFFFFF"/>
        <w:spacing w:after="0" w:line="240" w:lineRule="auto"/>
        <w:jc w:val="center"/>
        <w:outlineLvl w:val="0"/>
        <w:rPr>
          <w:b/>
          <w:bCs/>
          <w:sz w:val="26"/>
          <w:szCs w:val="26"/>
        </w:rPr>
      </w:pPr>
      <w:r>
        <w:rPr>
          <w:b/>
        </w:rPr>
        <w:t>BẢN NHẬN XÉT</w:t>
      </w:r>
    </w:p>
    <w:p w:rsidR="002329F4" w:rsidRDefault="00086BC8" w:rsidP="00381DEE">
      <w:pPr>
        <w:shd w:val="clear" w:color="auto" w:fill="FFFFFF"/>
        <w:spacing w:after="0" w:line="240" w:lineRule="auto"/>
        <w:jc w:val="center"/>
        <w:outlineLvl w:val="1"/>
        <w:rPr>
          <w:b/>
          <w:bCs/>
          <w:kern w:val="0"/>
          <w:sz w:val="26"/>
          <w:szCs w:val="26"/>
        </w:rPr>
      </w:pPr>
      <w:r>
        <w:rPr>
          <w:b/>
          <w:sz w:val="26"/>
        </w:rPr>
        <w:t>Báo cáo đề xuất cấp giấy phép môi trường của thành viên Hội đồng thẩm định</w:t>
      </w:r>
    </w:p>
    <w:p w:rsidR="002329F4" w:rsidRDefault="002329F4" w:rsidP="00381DEE">
      <w:pPr>
        <w:shd w:val="clear" w:color="auto" w:fill="FFFFFF"/>
        <w:spacing w:after="0" w:line="240" w:lineRule="auto"/>
        <w:rPr>
          <w:b/>
          <w:bCs/>
          <w:kern w:val="0"/>
          <w:sz w:val="26"/>
          <w:szCs w:val="26"/>
          <w:lang w:val="vi-VN"/>
        </w:rPr>
      </w:pPr>
    </w:p>
    <w:p w:rsidR="002329F4" w:rsidRDefault="00086BC8" w:rsidP="00381DEE">
      <w:pPr>
        <w:shd w:val="clear" w:color="auto" w:fill="FFFFFF"/>
        <w:spacing w:after="120" w:line="240" w:lineRule="auto"/>
        <w:ind w:firstLine="567"/>
        <w:jc w:val="both"/>
        <w:rPr>
          <w:kern w:val="0"/>
          <w:sz w:val="26"/>
          <w:szCs w:val="26"/>
        </w:rPr>
      </w:pPr>
      <w:r>
        <w:t>1. Họ và tên người nhận xét: Trần Trọng Trang.</w:t>
      </w:r>
    </w:p>
    <w:p w:rsidR="002329F4" w:rsidRDefault="00086BC8" w:rsidP="00381DEE">
      <w:pPr>
        <w:shd w:val="clear" w:color="auto" w:fill="FFFFFF"/>
        <w:spacing w:after="120" w:line="240" w:lineRule="auto"/>
        <w:ind w:firstLine="567"/>
        <w:jc w:val="both"/>
        <w:rPr>
          <w:kern w:val="0"/>
          <w:sz w:val="26"/>
          <w:szCs w:val="26"/>
        </w:rPr>
      </w:pPr>
      <w:r>
        <w:t>2. Học hàm, học vị, chức vụ công tác: Thạc sỹ Kinh tế;</w:t>
      </w:r>
      <w:r>
        <w:t xml:space="preserve"> Phó Trưởng phòng Quản lý công nghiệp, Sở Công Thương tỉnh Lào Cai. Chức danh trong Hội đồng thẩm định: Thành viên (Quyết định số 678/QĐ-SNNMT ngày 06/8/2026 của Giám đốc Sở Nông nghiệp và Môi trường tỉnh Lào Cai).</w:t>
      </w:r>
    </w:p>
    <w:p w:rsidR="002329F4" w:rsidRDefault="00086BC8" w:rsidP="00381DEE">
      <w:pPr>
        <w:shd w:val="clear" w:color="auto" w:fill="FFFFFF"/>
        <w:spacing w:after="120" w:line="240" w:lineRule="auto"/>
        <w:ind w:firstLine="567"/>
        <w:jc w:val="both"/>
        <w:rPr>
          <w:kern w:val="0"/>
          <w:sz w:val="26"/>
          <w:szCs w:val="26"/>
        </w:rPr>
      </w:pPr>
      <w:r>
        <w:t xml:space="preserve">3. Nơi công tác: Sở Công Thương tỉnh Lào </w:t>
      </w:r>
      <w:r>
        <w:t>Cai; địa chỉ: Số 165, đường Lý Thường Kiệt, phường Yên Bái, tỉnh Lào Cai; điện thoại: 02163.857.863.</w:t>
      </w:r>
    </w:p>
    <w:p w:rsidR="002329F4" w:rsidRDefault="00086BC8" w:rsidP="00381DEE">
      <w:pPr>
        <w:shd w:val="clear" w:color="auto" w:fill="FFFFFF"/>
        <w:spacing w:after="120" w:line="240" w:lineRule="auto"/>
        <w:ind w:firstLine="567"/>
        <w:jc w:val="both"/>
        <w:rPr>
          <w:kern w:val="0"/>
          <w:sz w:val="26"/>
          <w:szCs w:val="26"/>
        </w:rPr>
      </w:pPr>
      <w:r>
        <w:t>4. Tên dự án đầu tư: Dự án Đầu tư xây dựng kết cấu hạ tầng kỹ thuật Cụm công nghiệp Phú Thịnh 1, tại xã Yên Bình và phường Văn Phú, tỉnh Lào Cai; chủ dự án</w:t>
      </w:r>
      <w:r>
        <w:t>: Liên danh Công ty Cổ phần Tập đoàn Đông Đô và Công ty Cổ phần Đầu tư Xây dựng số 9 Bắc Giang; quy mô 75 ha; công suất trạm xử lý nước thải tập trung 1.900 m3/ngày đêm.</w:t>
      </w:r>
    </w:p>
    <w:p w:rsidR="002329F4" w:rsidRDefault="00086BC8" w:rsidP="00381DEE">
      <w:pPr>
        <w:shd w:val="clear" w:color="auto" w:fill="FFFFFF"/>
        <w:spacing w:after="120" w:line="240" w:lineRule="auto"/>
        <w:ind w:firstLine="567"/>
        <w:jc w:val="both"/>
        <w:rPr>
          <w:kern w:val="0"/>
          <w:sz w:val="26"/>
          <w:szCs w:val="26"/>
        </w:rPr>
      </w:pPr>
      <w:r>
        <w:rPr>
          <w:b/>
        </w:rPr>
        <w:t>5. Nhận xét về nội dung báo cáo đề xuất cấp giấy phép môi trường của dự án đầu tư:</w:t>
      </w:r>
    </w:p>
    <w:tbl>
      <w:tblPr>
        <w:tblW w:w="907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5" w:type="dxa"/>
          <w:left w:w="85" w:type="dxa"/>
          <w:bottom w:w="45" w:type="dxa"/>
          <w:right w:w="85" w:type="dxa"/>
        </w:tblCellMar>
        <w:tblLook w:val="04A0" w:firstRow="1" w:lastRow="0" w:firstColumn="1" w:lastColumn="0" w:noHBand="0" w:noVBand="1"/>
      </w:tblPr>
      <w:tblGrid>
        <w:gridCol w:w="765"/>
        <w:gridCol w:w="2608"/>
        <w:gridCol w:w="1474"/>
        <w:gridCol w:w="4224"/>
      </w:tblGrid>
      <w:tr w:rsidR="002329F4">
        <w:trPr>
          <w:cantSplit/>
          <w:tblHeader/>
          <w:jc w:val="center"/>
        </w:trPr>
        <w:tc>
          <w:tcPr>
            <w:tcW w:w="76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b/>
                <w:bCs/>
                <w:kern w:val="0"/>
                <w:sz w:val="26"/>
                <w:szCs w:val="26"/>
              </w:rPr>
              <w:t>STT</w:t>
            </w:r>
          </w:p>
        </w:tc>
        <w:tc>
          <w:tcPr>
            <w:tcW w:w="2608" w:type="dxa"/>
            <w:tcBorders>
              <w:top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b/>
                <w:bCs/>
                <w:kern w:val="0"/>
                <w:sz w:val="26"/>
                <w:szCs w:val="26"/>
              </w:rPr>
              <w:t>Nội dung thẩm định</w:t>
            </w:r>
          </w:p>
        </w:tc>
        <w:tc>
          <w:tcPr>
            <w:tcW w:w="1474" w:type="dxa"/>
            <w:tcBorders>
              <w:top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b/>
                <w:bCs/>
                <w:kern w:val="0"/>
                <w:sz w:val="18"/>
                <w:szCs w:val="26"/>
              </w:rPr>
              <w:t>Đánh giá từng nội dung (Chọn 1 trong 3 mức đánh giá): (1) Đạt yêu cầu; (2) Cần hoàn thiện; (3)</w:t>
            </w:r>
            <w:r>
              <w:rPr>
                <w:b/>
                <w:kern w:val="0"/>
                <w:sz w:val="18"/>
                <w:szCs w:val="26"/>
              </w:rPr>
              <w:t> </w:t>
            </w:r>
            <w:r>
              <w:rPr>
                <w:b/>
                <w:bCs/>
                <w:kern w:val="0"/>
                <w:sz w:val="18"/>
                <w:szCs w:val="26"/>
              </w:rPr>
              <w:t>Không đạt yêu cầu</w:t>
            </w:r>
          </w:p>
        </w:tc>
        <w:tc>
          <w:tcPr>
            <w:tcW w:w="4224" w:type="dxa"/>
            <w:tcBorders>
              <w:top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b/>
                <w:bCs/>
                <w:kern w:val="0"/>
                <w:sz w:val="26"/>
                <w:szCs w:val="26"/>
              </w:rPr>
              <w:t>Nêu</w:t>
            </w:r>
            <w:r>
              <w:rPr>
                <w:b/>
                <w:kern w:val="0"/>
                <w:sz w:val="26"/>
                <w:szCs w:val="26"/>
              </w:rPr>
              <w:t> </w:t>
            </w:r>
            <w:r>
              <w:rPr>
                <w:b/>
                <w:bCs/>
                <w:kern w:val="0"/>
                <w:sz w:val="26"/>
                <w:szCs w:val="26"/>
              </w:rPr>
              <w:t>rõ</w:t>
            </w:r>
            <w:r>
              <w:rPr>
                <w:b/>
                <w:kern w:val="0"/>
                <w:sz w:val="26"/>
                <w:szCs w:val="26"/>
              </w:rPr>
              <w:t> </w:t>
            </w:r>
            <w:r>
              <w:rPr>
                <w:b/>
                <w:bCs/>
                <w:kern w:val="0"/>
                <w:sz w:val="26"/>
                <w:szCs w:val="26"/>
              </w:rPr>
              <w:t>lý</w:t>
            </w:r>
            <w:r>
              <w:rPr>
                <w:b/>
                <w:kern w:val="0"/>
                <w:sz w:val="26"/>
                <w:szCs w:val="26"/>
              </w:rPr>
              <w:t> </w:t>
            </w:r>
            <w:r>
              <w:rPr>
                <w:b/>
                <w:bCs/>
                <w:kern w:val="0"/>
                <w:sz w:val="26"/>
                <w:szCs w:val="26"/>
              </w:rPr>
              <w:t>do</w:t>
            </w:r>
            <w:r>
              <w:rPr>
                <w:b/>
                <w:kern w:val="0"/>
                <w:sz w:val="26"/>
                <w:szCs w:val="26"/>
              </w:rPr>
              <w:t> </w:t>
            </w:r>
            <w:r>
              <w:rPr>
                <w:b/>
                <w:bCs/>
                <w:kern w:val="0"/>
                <w:sz w:val="26"/>
                <w:szCs w:val="26"/>
              </w:rPr>
              <w:t>trong</w:t>
            </w:r>
            <w:r>
              <w:rPr>
                <w:b/>
                <w:kern w:val="0"/>
                <w:sz w:val="26"/>
                <w:szCs w:val="26"/>
              </w:rPr>
              <w:t> </w:t>
            </w:r>
            <w:r>
              <w:rPr>
                <w:b/>
                <w:bCs/>
                <w:kern w:val="0"/>
                <w:sz w:val="26"/>
                <w:szCs w:val="26"/>
              </w:rPr>
              <w:t>trường hợp đánh giá mức (2) hoặc (3)</w:t>
            </w:r>
          </w:p>
        </w:tc>
      </w:tr>
      <w:tr w:rsidR="002329F4">
        <w:trPr>
          <w:jc w:val="center"/>
        </w:trPr>
        <w:tc>
          <w:tcPr>
            <w:tcW w:w="765" w:type="dxa"/>
            <w:tcBorders>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kern w:val="0"/>
                <w:sz w:val="26"/>
                <w:szCs w:val="26"/>
              </w:rPr>
              <w:t>1</w:t>
            </w:r>
          </w:p>
        </w:tc>
        <w:tc>
          <w:tcPr>
            <w:tcW w:w="2608"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kern w:val="0"/>
                <w:sz w:val="26"/>
                <w:szCs w:val="26"/>
              </w:rPr>
              <w:t>Sự phù hợp của dự án đầu tư với quy hoạch bảo vệ môi trường, quy</w:t>
            </w:r>
            <w:r>
              <w:rPr>
                <w:kern w:val="0"/>
                <w:sz w:val="26"/>
                <w:szCs w:val="26"/>
              </w:rPr>
              <w:t xml:space="preserve"> hoạch tỉnh, phân vùng môi trường, khả năng chịu tải của môi trường theo quyết định của cơ quan nhà nước có thẩm quyền/khu sản xuất, kinh doanh, dịch vụ tập trung, cụm công nghiệp</w:t>
            </w:r>
          </w:p>
        </w:tc>
        <w:tc>
          <w:tcPr>
            <w:tcW w:w="147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sz w:val="26"/>
              </w:rPr>
              <w:t>Cần hoàn thiện</w:t>
            </w:r>
          </w:p>
        </w:tc>
        <w:tc>
          <w:tcPr>
            <w:tcW w:w="422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sz w:val="26"/>
              </w:rPr>
              <w:t>Dự án phù hợp Quy hoạch tỉnh Lào Cai thời kỳ 2021 - 2030 (Phụ</w:t>
            </w:r>
            <w:r>
              <w:rPr>
                <w:sz w:val="26"/>
              </w:rPr>
              <w:t xml:space="preserve"> lục III, mục I.1, số thứ tự 8 kèm theo Quyết định</w:t>
            </w:r>
            <w:bookmarkStart w:id="0" w:name="_GoBack"/>
            <w:bookmarkEnd w:id="0"/>
            <w:r>
              <w:rPr>
                <w:sz w:val="26"/>
              </w:rPr>
              <w:t xml:space="preserve"> số 525/QĐ-UBND ngày 25/02/2026) và các quyết định thành lập, điều chỉnh Cụm công nghiệp Phú Thịnh 1; thuộc vùng bảo vệ môi trường khác. Tuy nhiên, về khả năng chịu tải, mục 2 Chương II mới nêu kết quả 02 m</w:t>
            </w:r>
            <w:r>
              <w:rPr>
                <w:sz w:val="26"/>
              </w:rPr>
              <w:t>ẫu nước mặt rồi kết luận, chưa có tính toán khả năng tiếp nhận nước thải, sức chịu tải của nguồn nước. Đề nghị bổ sung.</w:t>
            </w:r>
          </w:p>
        </w:tc>
      </w:tr>
      <w:tr w:rsidR="002329F4">
        <w:trPr>
          <w:jc w:val="center"/>
        </w:trPr>
        <w:tc>
          <w:tcPr>
            <w:tcW w:w="765" w:type="dxa"/>
            <w:tcBorders>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kern w:val="0"/>
                <w:sz w:val="26"/>
                <w:szCs w:val="26"/>
              </w:rPr>
              <w:t>2</w:t>
            </w:r>
          </w:p>
        </w:tc>
        <w:tc>
          <w:tcPr>
            <w:tcW w:w="2608"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kern w:val="0"/>
                <w:sz w:val="26"/>
                <w:szCs w:val="26"/>
              </w:rPr>
              <w:t>Kết quả tổng hợp số liệu về hiện trạng môi trường khu vực thực hiện dự án</w:t>
            </w:r>
          </w:p>
        </w:tc>
        <w:tc>
          <w:tcPr>
            <w:tcW w:w="147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sz w:val="26"/>
              </w:rPr>
              <w:t>Cần hoàn thiện</w:t>
            </w:r>
          </w:p>
        </w:tc>
        <w:tc>
          <w:tcPr>
            <w:tcW w:w="422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sz w:val="26"/>
              </w:rPr>
              <w:t>Chỉ có 01 đợt quan trắc, 02 vị trí nước mặt,</w:t>
            </w:r>
            <w:r>
              <w:rPr>
                <w:sz w:val="26"/>
              </w:rPr>
              <w:t xml:space="preserve"> lấy ngày 11/7/2025 là mùa mưa; thiếu số liệu mùa kiệt và số liệu đo lưu lượng dòng chảy khe suối tiếp nhận. Đề nghị bổ sung tối thiểu 01 đợt quan </w:t>
            </w:r>
            <w:r>
              <w:rPr>
                <w:sz w:val="26"/>
              </w:rPr>
              <w:lastRenderedPageBreak/>
              <w:t>trắc mùa kiệt kèm đo lưu lượng.</w:t>
            </w:r>
          </w:p>
        </w:tc>
      </w:tr>
      <w:tr w:rsidR="002329F4">
        <w:trPr>
          <w:jc w:val="center"/>
        </w:trPr>
        <w:tc>
          <w:tcPr>
            <w:tcW w:w="765" w:type="dxa"/>
            <w:tcBorders>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kern w:val="0"/>
                <w:sz w:val="26"/>
                <w:szCs w:val="26"/>
              </w:rPr>
              <w:lastRenderedPageBreak/>
              <w:t>3</w:t>
            </w:r>
          </w:p>
        </w:tc>
        <w:tc>
          <w:tcPr>
            <w:tcW w:w="2608"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kern w:val="0"/>
                <w:sz w:val="26"/>
                <w:szCs w:val="26"/>
              </w:rPr>
              <w:t>Sự phù hợp của địa điểm lựa chọn thực hiện dự án</w:t>
            </w:r>
          </w:p>
        </w:tc>
        <w:tc>
          <w:tcPr>
            <w:tcW w:w="147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sz w:val="26"/>
              </w:rPr>
              <w:t>Cần hoàn thiện</w:t>
            </w:r>
          </w:p>
        </w:tc>
        <w:tc>
          <w:tcPr>
            <w:tcW w:w="422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sz w:val="26"/>
              </w:rPr>
              <w:t xml:space="preserve">Địa điểm </w:t>
            </w:r>
            <w:r>
              <w:rPr>
                <w:sz w:val="26"/>
              </w:rPr>
              <w:t>phù hợp quy hoạch chi tiết đã được phê duyệt. Đề nghị làm rõ khoảng cách và dải cây xanh cách ly từ trạm xử lý nước thải tập trung và điểm xả nước thải đến khu dân cư gần nhất về phía Tây Nam (khoảng 250 m) theo QCVN 01:2021/BXD.</w:t>
            </w:r>
          </w:p>
        </w:tc>
      </w:tr>
      <w:tr w:rsidR="002329F4">
        <w:trPr>
          <w:jc w:val="center"/>
        </w:trPr>
        <w:tc>
          <w:tcPr>
            <w:tcW w:w="765" w:type="dxa"/>
            <w:tcBorders>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kern w:val="0"/>
                <w:sz w:val="26"/>
                <w:szCs w:val="26"/>
              </w:rPr>
              <w:t>4</w:t>
            </w:r>
          </w:p>
        </w:tc>
        <w:tc>
          <w:tcPr>
            <w:tcW w:w="2608"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kern w:val="0"/>
                <w:sz w:val="26"/>
                <w:szCs w:val="26"/>
              </w:rPr>
              <w:t>Việc đánh giá và dự báo</w:t>
            </w:r>
            <w:r>
              <w:rPr>
                <w:kern w:val="0"/>
                <w:sz w:val="26"/>
                <w:szCs w:val="26"/>
              </w:rPr>
              <w:t xml:space="preserve"> về nguồn thải của dự án; tác động của chất thải và các tác động khác của dự án đến môi trường; đánh giá, dự báo các sự cố môi trường do chất thải gây ra</w:t>
            </w:r>
          </w:p>
        </w:tc>
        <w:tc>
          <w:tcPr>
            <w:tcW w:w="147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sz w:val="26"/>
              </w:rPr>
              <w:t>Cần hoàn thiện</w:t>
            </w:r>
          </w:p>
        </w:tc>
        <w:tc>
          <w:tcPr>
            <w:tcW w:w="422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sz w:val="26"/>
              </w:rPr>
              <w:t>Theo nhận xét tại các mục 4.1 và 4.2.</w:t>
            </w:r>
          </w:p>
        </w:tc>
      </w:tr>
      <w:tr w:rsidR="002329F4">
        <w:trPr>
          <w:jc w:val="center"/>
        </w:trPr>
        <w:tc>
          <w:tcPr>
            <w:tcW w:w="765" w:type="dxa"/>
            <w:tcBorders>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kern w:val="0"/>
                <w:sz w:val="26"/>
                <w:szCs w:val="26"/>
              </w:rPr>
              <w:t>4.1</w:t>
            </w:r>
          </w:p>
        </w:tc>
        <w:tc>
          <w:tcPr>
            <w:tcW w:w="2608"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kern w:val="0"/>
                <w:sz w:val="26"/>
                <w:szCs w:val="26"/>
              </w:rPr>
              <w:t>Việc đánh giá và dự báo về nguồn thải của dự</w:t>
            </w:r>
            <w:r>
              <w:rPr>
                <w:kern w:val="0"/>
                <w:sz w:val="26"/>
                <w:szCs w:val="26"/>
              </w:rPr>
              <w:t xml:space="preserve"> án; quy mô, tính chất của nước thải, khí thải, chất thải rắn thông thường, chất thải nguy hại</w:t>
            </w:r>
          </w:p>
        </w:tc>
        <w:tc>
          <w:tcPr>
            <w:tcW w:w="147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sz w:val="26"/>
              </w:rPr>
              <w:t>Cần hoàn thiện</w:t>
            </w:r>
          </w:p>
        </w:tc>
        <w:tc>
          <w:tcPr>
            <w:tcW w:w="422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sz w:val="26"/>
              </w:rPr>
              <w:t>Theo nhận xét tại các mục 4.1.1, 4.1.3 và 4.1.4.</w:t>
            </w:r>
          </w:p>
        </w:tc>
      </w:tr>
      <w:tr w:rsidR="002329F4">
        <w:trPr>
          <w:jc w:val="center"/>
        </w:trPr>
        <w:tc>
          <w:tcPr>
            <w:tcW w:w="765" w:type="dxa"/>
            <w:tcBorders>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kern w:val="0"/>
                <w:sz w:val="26"/>
                <w:szCs w:val="26"/>
              </w:rPr>
              <w:t>4.1.1</w:t>
            </w:r>
          </w:p>
        </w:tc>
        <w:tc>
          <w:tcPr>
            <w:tcW w:w="2608"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kern w:val="0"/>
                <w:sz w:val="26"/>
                <w:szCs w:val="26"/>
              </w:rPr>
              <w:t>Nước thải</w:t>
            </w:r>
          </w:p>
        </w:tc>
        <w:tc>
          <w:tcPr>
            <w:tcW w:w="147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sz w:val="26"/>
              </w:rPr>
              <w:t>Cần hoàn thiện</w:t>
            </w:r>
          </w:p>
        </w:tc>
        <w:tc>
          <w:tcPr>
            <w:tcW w:w="422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sz w:val="26"/>
              </w:rPr>
              <w:t xml:space="preserve">Bảng 4.21 khai báo hệ số không điều hòa K = 1,2 cho cả 03 hạng </w:t>
            </w:r>
            <w:r>
              <w:rPr>
                <w:sz w:val="26"/>
              </w:rPr>
              <w:t>mục nhưng chỉ áp dụng cho hạng mục 2 và 3; hạng mục 1 (đất nhà máy, xí nghiệp, kho tàng) chỉ lấy 51,41 ha x 32 m3/ha x 80% = 1.316,10 m3, không nhân hệ số K. Nếu áp dụng nhất quán K = 1,2 thì tổng lượng nước thải là 2.134,45 m3/ngày đêm, vượt công suất trạ</w:t>
            </w:r>
            <w:r>
              <w:rPr>
                <w:sz w:val="26"/>
              </w:rPr>
              <w:t>m xử lý nước thải tập trung 1.900 m3/ngày đêm. Ngay theo số liệu của báo cáo (1.871,23 m3/ngày đêm) thì hệ số dự phòng chỉ khoảng 1,5%. Đề nghị tính lại và luận chứng công suất trạm.</w:t>
            </w:r>
          </w:p>
        </w:tc>
      </w:tr>
      <w:tr w:rsidR="002329F4">
        <w:trPr>
          <w:jc w:val="center"/>
        </w:trPr>
        <w:tc>
          <w:tcPr>
            <w:tcW w:w="765" w:type="dxa"/>
            <w:tcBorders>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kern w:val="0"/>
                <w:sz w:val="26"/>
                <w:szCs w:val="26"/>
              </w:rPr>
              <w:t>4.1.2</w:t>
            </w:r>
          </w:p>
        </w:tc>
        <w:tc>
          <w:tcPr>
            <w:tcW w:w="2608"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kern w:val="0"/>
                <w:sz w:val="26"/>
                <w:szCs w:val="26"/>
              </w:rPr>
              <w:t>Khí thải</w:t>
            </w:r>
          </w:p>
        </w:tc>
        <w:tc>
          <w:tcPr>
            <w:tcW w:w="147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sz w:val="26"/>
              </w:rPr>
              <w:t>Đạt yêu cầu</w:t>
            </w:r>
          </w:p>
        </w:tc>
        <w:tc>
          <w:tcPr>
            <w:tcW w:w="4224" w:type="dxa"/>
            <w:tcBorders>
              <w:bottom w:val="single" w:sz="8" w:space="0" w:color="000000"/>
              <w:right w:val="single" w:sz="8" w:space="0" w:color="000000"/>
            </w:tcBorders>
            <w:shd w:val="clear" w:color="auto" w:fill="FFFFFF"/>
            <w:vAlign w:val="center"/>
          </w:tcPr>
          <w:p w:rsidR="002329F4" w:rsidRDefault="002329F4" w:rsidP="00381DEE">
            <w:pPr>
              <w:spacing w:after="120" w:line="240" w:lineRule="auto"/>
              <w:jc w:val="both"/>
              <w:rPr>
                <w:kern w:val="0"/>
                <w:sz w:val="26"/>
                <w:szCs w:val="26"/>
              </w:rPr>
            </w:pPr>
          </w:p>
        </w:tc>
      </w:tr>
      <w:tr w:rsidR="002329F4">
        <w:trPr>
          <w:jc w:val="center"/>
        </w:trPr>
        <w:tc>
          <w:tcPr>
            <w:tcW w:w="765" w:type="dxa"/>
            <w:tcBorders>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kern w:val="0"/>
                <w:sz w:val="26"/>
                <w:szCs w:val="26"/>
              </w:rPr>
              <w:t>4.1.3</w:t>
            </w:r>
          </w:p>
        </w:tc>
        <w:tc>
          <w:tcPr>
            <w:tcW w:w="2608"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kern w:val="0"/>
                <w:sz w:val="26"/>
                <w:szCs w:val="26"/>
              </w:rPr>
              <w:t>Chất thải rắn thông thường</w:t>
            </w:r>
          </w:p>
        </w:tc>
        <w:tc>
          <w:tcPr>
            <w:tcW w:w="147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sz w:val="26"/>
              </w:rPr>
              <w:t xml:space="preserve">Cần hoàn </w:t>
            </w:r>
            <w:r>
              <w:rPr>
                <w:sz w:val="26"/>
              </w:rPr>
              <w:t>thiện</w:t>
            </w:r>
          </w:p>
        </w:tc>
        <w:tc>
          <w:tcPr>
            <w:tcW w:w="422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sz w:val="26"/>
              </w:rPr>
              <w:t>Chưa dự báo khối lượng, thành phần chất thải rắn công nghiệp thông thường của các cơ sở thứ cấp theo nhóm ngành nghề thu hút đầu tư đã được phê duyệt.</w:t>
            </w:r>
          </w:p>
        </w:tc>
      </w:tr>
      <w:tr w:rsidR="002329F4">
        <w:trPr>
          <w:jc w:val="center"/>
        </w:trPr>
        <w:tc>
          <w:tcPr>
            <w:tcW w:w="765" w:type="dxa"/>
            <w:tcBorders>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kern w:val="0"/>
                <w:sz w:val="26"/>
                <w:szCs w:val="26"/>
              </w:rPr>
              <w:t>4.1.4</w:t>
            </w:r>
          </w:p>
        </w:tc>
        <w:tc>
          <w:tcPr>
            <w:tcW w:w="2608"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kern w:val="0"/>
                <w:sz w:val="26"/>
                <w:szCs w:val="26"/>
              </w:rPr>
              <w:t>Chất thải nguy hại</w:t>
            </w:r>
          </w:p>
        </w:tc>
        <w:tc>
          <w:tcPr>
            <w:tcW w:w="147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sz w:val="26"/>
              </w:rPr>
              <w:t>Cần hoàn thiện</w:t>
            </w:r>
          </w:p>
        </w:tc>
        <w:tc>
          <w:tcPr>
            <w:tcW w:w="422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sz w:val="26"/>
              </w:rPr>
              <w:t xml:space="preserve">Chưa dự báo khối lượng chất thải nguy hại của các cơ sở </w:t>
            </w:r>
            <w:r>
              <w:rPr>
                <w:sz w:val="26"/>
              </w:rPr>
              <w:t>thứ cấp; chưa dự báo tính chất bùn thải của trạm xử lý nước thải tập trung trong điều kiện tiếp nhận nước thải công nghiệp hỗn hợp.</w:t>
            </w:r>
          </w:p>
        </w:tc>
      </w:tr>
      <w:tr w:rsidR="002329F4">
        <w:trPr>
          <w:jc w:val="center"/>
        </w:trPr>
        <w:tc>
          <w:tcPr>
            <w:tcW w:w="765" w:type="dxa"/>
            <w:tcBorders>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kern w:val="0"/>
                <w:sz w:val="26"/>
                <w:szCs w:val="26"/>
              </w:rPr>
              <w:t>4.2</w:t>
            </w:r>
          </w:p>
        </w:tc>
        <w:tc>
          <w:tcPr>
            <w:tcW w:w="2608"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spacing w:val="-6"/>
                <w:kern w:val="0"/>
                <w:sz w:val="26"/>
                <w:szCs w:val="26"/>
              </w:rPr>
            </w:pPr>
            <w:r>
              <w:rPr>
                <w:spacing w:val="-6"/>
                <w:kern w:val="0"/>
                <w:sz w:val="26"/>
                <w:szCs w:val="26"/>
              </w:rPr>
              <w:t>Đánh giá, dự báo các sự cố môi trường do chất thải gây ra</w:t>
            </w:r>
          </w:p>
        </w:tc>
        <w:tc>
          <w:tcPr>
            <w:tcW w:w="147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sz w:val="26"/>
              </w:rPr>
              <w:t>Cần hoàn thiện</w:t>
            </w:r>
          </w:p>
        </w:tc>
        <w:tc>
          <w:tcPr>
            <w:tcW w:w="422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sz w:val="26"/>
              </w:rPr>
              <w:t xml:space="preserve">Chưa xây dựng kịch bản sự cố theo mức độ, đặc </w:t>
            </w:r>
            <w:r>
              <w:rPr>
                <w:sz w:val="26"/>
              </w:rPr>
              <w:t>biệt là tình huống cơ sở thứ cấp xả vượt ngưỡng đấu nối gây chết bùn hoạt tính và tình huống sự cố kéo dài quá thời gian lưu của hồ sự cố.</w:t>
            </w:r>
          </w:p>
        </w:tc>
      </w:tr>
      <w:tr w:rsidR="002329F4">
        <w:trPr>
          <w:jc w:val="center"/>
        </w:trPr>
        <w:tc>
          <w:tcPr>
            <w:tcW w:w="765" w:type="dxa"/>
            <w:tcBorders>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kern w:val="0"/>
                <w:sz w:val="26"/>
                <w:szCs w:val="26"/>
              </w:rPr>
              <w:t>5</w:t>
            </w:r>
          </w:p>
        </w:tc>
        <w:tc>
          <w:tcPr>
            <w:tcW w:w="2608"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kern w:val="0"/>
                <w:sz w:val="26"/>
                <w:szCs w:val="26"/>
              </w:rPr>
              <w:t xml:space="preserve">Đánh giá và dự báo về tác động đến chế độ thủy văn của môi trường tiếp nhận nước thải, khả năng tiếp nhận nước </w:t>
            </w:r>
            <w:r>
              <w:rPr>
                <w:kern w:val="0"/>
                <w:sz w:val="26"/>
                <w:szCs w:val="26"/>
              </w:rPr>
              <w:t>thải của nguồn nước (hoặc nguồn nước công trình thủy lợi)</w:t>
            </w:r>
          </w:p>
        </w:tc>
        <w:tc>
          <w:tcPr>
            <w:tcW w:w="147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sz w:val="26"/>
              </w:rPr>
              <w:t>Cần hoàn thiện</w:t>
            </w:r>
          </w:p>
        </w:tc>
        <w:tc>
          <w:tcPr>
            <w:tcW w:w="422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sz w:val="26"/>
              </w:rPr>
              <w:t>Báo cáo không có tính toán khả năng tiếp nhận nước thải, sức chịu tải của nguồn nước; không có số liệu lưu lượng khe suối mùa kiệt. Báo cáo tự nêu khi trạm vận hành công suất tối đa t</w:t>
            </w:r>
            <w:r>
              <w:rPr>
                <w:sz w:val="26"/>
              </w:rPr>
              <w:t>hì mực nước đoạn suối tiếp nhận dâng khoảng 0,8 m nhưng vẫn kết luận khả năng tiêu thoát được bảo đảm mà không có luận chứng. Phần đánh giá cộng gộp mới ở mức định tính, trong khi cùng lưu vực còn có nước thải của Cụm công nghiệp Phú Thịnh 2 (1.000 m3/ngày</w:t>
            </w:r>
            <w:r>
              <w:rPr>
                <w:sz w:val="26"/>
              </w:rPr>
              <w:t>) và Phú Thịnh 3 (1.100 m3/ngày), tổng khoảng 3.971 m3/ngày đêm. Đề nghị bổ sung tính toán khả năng tiếp nhận nước thải, sức chịu tải của nguồn nước theo quy định của pháp luật về tài nguyên nước.</w:t>
            </w:r>
          </w:p>
        </w:tc>
      </w:tr>
      <w:tr w:rsidR="002329F4">
        <w:trPr>
          <w:jc w:val="center"/>
        </w:trPr>
        <w:tc>
          <w:tcPr>
            <w:tcW w:w="765" w:type="dxa"/>
            <w:tcBorders>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kern w:val="0"/>
                <w:sz w:val="26"/>
                <w:szCs w:val="26"/>
              </w:rPr>
              <w:t>6</w:t>
            </w:r>
          </w:p>
        </w:tc>
        <w:tc>
          <w:tcPr>
            <w:tcW w:w="2608"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kern w:val="0"/>
                <w:sz w:val="26"/>
                <w:szCs w:val="26"/>
              </w:rPr>
              <w:t>Đánh giá và dự báo về tác động tới lòng, bờ, bãi sông, d</w:t>
            </w:r>
            <w:r>
              <w:rPr>
                <w:kern w:val="0"/>
                <w:sz w:val="26"/>
                <w:szCs w:val="26"/>
              </w:rPr>
              <w:t>òng chảy (đối với dự án khai thác cát, sỏi và khoáng sản trên sông, suối, kênh, rạch, hồ chứa và vùng cửa sông, ven biển)</w:t>
            </w:r>
          </w:p>
        </w:tc>
        <w:tc>
          <w:tcPr>
            <w:tcW w:w="147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sz w:val="26"/>
              </w:rPr>
              <w:t>Không áp dụng</w:t>
            </w:r>
          </w:p>
        </w:tc>
        <w:tc>
          <w:tcPr>
            <w:tcW w:w="422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sz w:val="26"/>
              </w:rPr>
              <w:t>Dự án không khai thác cát, sỏi, khoáng sản trên sông, suối, hồ chứa, vùng cửa sông, ven biển.</w:t>
            </w:r>
          </w:p>
        </w:tc>
      </w:tr>
      <w:tr w:rsidR="002329F4">
        <w:trPr>
          <w:jc w:val="center"/>
        </w:trPr>
        <w:tc>
          <w:tcPr>
            <w:tcW w:w="765" w:type="dxa"/>
            <w:tcBorders>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kern w:val="0"/>
                <w:sz w:val="26"/>
                <w:szCs w:val="26"/>
              </w:rPr>
              <w:t>7</w:t>
            </w:r>
          </w:p>
        </w:tc>
        <w:tc>
          <w:tcPr>
            <w:tcW w:w="2608"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kern w:val="0"/>
                <w:sz w:val="26"/>
                <w:szCs w:val="26"/>
              </w:rPr>
              <w:t>Sự phù hợp của các giải</w:t>
            </w:r>
            <w:r>
              <w:rPr>
                <w:kern w:val="0"/>
                <w:sz w:val="26"/>
                <w:szCs w:val="26"/>
              </w:rPr>
              <w:t xml:space="preserve"> pháp bảo vệ môi trường</w:t>
            </w:r>
          </w:p>
        </w:tc>
        <w:tc>
          <w:tcPr>
            <w:tcW w:w="147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sz w:val="26"/>
              </w:rPr>
              <w:t>Cần hoàn thiện</w:t>
            </w:r>
          </w:p>
        </w:tc>
        <w:tc>
          <w:tcPr>
            <w:tcW w:w="422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sz w:val="26"/>
              </w:rPr>
              <w:t>Theo nhận xét tại các mục 7.1 đến 7.7.</w:t>
            </w:r>
          </w:p>
        </w:tc>
      </w:tr>
      <w:tr w:rsidR="002329F4">
        <w:trPr>
          <w:jc w:val="center"/>
        </w:trPr>
        <w:tc>
          <w:tcPr>
            <w:tcW w:w="765" w:type="dxa"/>
            <w:tcBorders>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kern w:val="0"/>
                <w:sz w:val="26"/>
                <w:szCs w:val="26"/>
              </w:rPr>
              <w:t>7.1</w:t>
            </w:r>
          </w:p>
        </w:tc>
        <w:tc>
          <w:tcPr>
            <w:tcW w:w="2608"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kern w:val="0"/>
                <w:sz w:val="26"/>
                <w:szCs w:val="26"/>
              </w:rPr>
              <w:t>Phương án thu gom, quản lý chất thải</w:t>
            </w:r>
          </w:p>
        </w:tc>
        <w:tc>
          <w:tcPr>
            <w:tcW w:w="147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sz w:val="26"/>
              </w:rPr>
              <w:t>Cần hoàn thiện</w:t>
            </w:r>
          </w:p>
        </w:tc>
        <w:tc>
          <w:tcPr>
            <w:tcW w:w="422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sz w:val="26"/>
              </w:rPr>
              <w:t xml:space="preserve">Chưa có Quy chế bảo vệ môi trường cụm công nghiệp và quy định quản lý đấu nối kèm theo hồ sơ; chưa yêu cầu mỗi cơ sở thứ </w:t>
            </w:r>
            <w:r>
              <w:rPr>
                <w:sz w:val="26"/>
              </w:rPr>
              <w:t>cấp lắp đồng hồ đo lưu lượng và hố ga đấu nối riêng đặt bên ngoài phần đất của cơ sở theo quy định tại Điều 48 Nghị định số 08/2022/NĐ-CP.</w:t>
            </w:r>
          </w:p>
        </w:tc>
      </w:tr>
      <w:tr w:rsidR="002329F4">
        <w:trPr>
          <w:jc w:val="center"/>
        </w:trPr>
        <w:tc>
          <w:tcPr>
            <w:tcW w:w="765" w:type="dxa"/>
            <w:tcBorders>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kern w:val="0"/>
                <w:sz w:val="26"/>
                <w:szCs w:val="26"/>
              </w:rPr>
              <w:t>7.2</w:t>
            </w:r>
          </w:p>
        </w:tc>
        <w:tc>
          <w:tcPr>
            <w:tcW w:w="2608"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kern w:val="0"/>
                <w:sz w:val="26"/>
                <w:szCs w:val="26"/>
              </w:rPr>
              <w:t>Biện pháp, công nghệ xử lý nước thải</w:t>
            </w:r>
          </w:p>
        </w:tc>
        <w:tc>
          <w:tcPr>
            <w:tcW w:w="147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sz w:val="26"/>
              </w:rPr>
              <w:t>Cần hoàn thiện</w:t>
            </w:r>
          </w:p>
        </w:tc>
        <w:tc>
          <w:tcPr>
            <w:tcW w:w="422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sz w:val="26"/>
              </w:rPr>
              <w:t xml:space="preserve">Bảng 4.32 xác định nước thải đầu vào trạm đạt cột B, Bảng </w:t>
            </w:r>
            <w:r>
              <w:rPr>
                <w:sz w:val="26"/>
              </w:rPr>
              <w:t xml:space="preserve">4.33 xác định đầu ra đạt cột A của QCVN 40:2025/BTNMT, tương ứng yêu cầu hiệu suất xử lý rất cao: tổng phenol 3,0 xuống 0,1 mg/l; niken 3,0 xuống 0,1 mg/l; tổng xianua 1,0 xuống 0,2 mg/l; asen 0,25 xuống 0,05 mg/l; thủy ngân 0,005 xuống 0,001 mg/l; florua </w:t>
            </w:r>
            <w:r>
              <w:rPr>
                <w:sz w:val="26"/>
              </w:rPr>
              <w:t>15 xuống 3 mg/l; mangan và sắt 10 xuống 2 mg/l. Trong khi đó dây chuyền chỉ gồm tách rác, tách cát - dầu mỡ, điều hòa, trung hòa - keo tụ - tạo bông (khử Cr6+ bằng FeSO4), lắng hóa lý, thiếu khí - hiếu khí, lắng sinh học, khử trùng; không có bậc xử lý nâng</w:t>
            </w:r>
            <w:r>
              <w:rPr>
                <w:sz w:val="26"/>
              </w:rPr>
              <w:t xml:space="preserve"> cao tương ứng. Riêng tổng PCB có giá trị đầu vào và đầu ra cùng là 0,003 mg/l, tức hiệu suất xử lý bằng 0. Ngoài ra, sơ đồ công nghệ và phần tính lượng bùn phát sinh vẫn ghi là hệ thống xử lý nước thải sinh hoạt, không phù hợp với tính chất nước thải cụm </w:t>
            </w:r>
            <w:r>
              <w:rPr>
                <w:sz w:val="26"/>
              </w:rPr>
              <w:t>công nghiệp đa ngành.</w:t>
            </w:r>
          </w:p>
        </w:tc>
      </w:tr>
      <w:tr w:rsidR="002329F4">
        <w:trPr>
          <w:jc w:val="center"/>
        </w:trPr>
        <w:tc>
          <w:tcPr>
            <w:tcW w:w="765" w:type="dxa"/>
            <w:tcBorders>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kern w:val="0"/>
                <w:sz w:val="26"/>
                <w:szCs w:val="26"/>
              </w:rPr>
              <w:t>7.3</w:t>
            </w:r>
          </w:p>
        </w:tc>
        <w:tc>
          <w:tcPr>
            <w:tcW w:w="2608"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kern w:val="0"/>
                <w:sz w:val="26"/>
                <w:szCs w:val="26"/>
              </w:rPr>
              <w:t>Biện pháp, công nghệ xử lý bụi, khí thải</w:t>
            </w:r>
          </w:p>
        </w:tc>
        <w:tc>
          <w:tcPr>
            <w:tcW w:w="147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sz w:val="26"/>
              </w:rPr>
              <w:t>Cần hoàn thiện</w:t>
            </w:r>
          </w:p>
        </w:tc>
        <w:tc>
          <w:tcPr>
            <w:tcW w:w="422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sz w:val="26"/>
              </w:rPr>
              <w:t xml:space="preserve">Hệ thống xử lý mùi của trạm xử lý nước thải có quạt hút lưu lượng tối đa 3.000 m3/giờ nhưng ống thu chính PVC D200 và ống thải PVC D110, dẫn đến vận tốc dòng khí không khả </w:t>
            </w:r>
            <w:r>
              <w:rPr>
                <w:sz w:val="26"/>
              </w:rPr>
              <w:t>thi. Đề nghị tính lại.</w:t>
            </w:r>
          </w:p>
        </w:tc>
      </w:tr>
      <w:tr w:rsidR="002329F4">
        <w:trPr>
          <w:jc w:val="center"/>
        </w:trPr>
        <w:tc>
          <w:tcPr>
            <w:tcW w:w="765" w:type="dxa"/>
            <w:tcBorders>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kern w:val="0"/>
                <w:sz w:val="26"/>
                <w:szCs w:val="26"/>
              </w:rPr>
              <w:t>7.4</w:t>
            </w:r>
          </w:p>
        </w:tc>
        <w:tc>
          <w:tcPr>
            <w:tcW w:w="2608"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kern w:val="0"/>
                <w:sz w:val="26"/>
                <w:szCs w:val="26"/>
              </w:rPr>
              <w:t>Phương án quản lý chất thải nguy hại</w:t>
            </w:r>
          </w:p>
        </w:tc>
        <w:tc>
          <w:tcPr>
            <w:tcW w:w="147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sz w:val="26"/>
              </w:rPr>
              <w:t>Cần hoàn thiện</w:t>
            </w:r>
          </w:p>
        </w:tc>
        <w:tc>
          <w:tcPr>
            <w:tcW w:w="422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sz w:val="26"/>
              </w:rPr>
              <w:t xml:space="preserve">Chưa có phương án lấy mẫu, phân định bùn thải của trạm xử lý nước thải tập trung; phương án hút trực tiếp lên xe bồn, không lưu chứa trong kho chưa có giải pháp dự phòng khi </w:t>
            </w:r>
            <w:r>
              <w:rPr>
                <w:sz w:val="26"/>
              </w:rPr>
              <w:t>chưa kịp chuyển giao. Kho chất thải nguy hại 17,5 m2 chưa có thuyết minh cơ sở tính toán.</w:t>
            </w:r>
          </w:p>
        </w:tc>
      </w:tr>
      <w:tr w:rsidR="002329F4">
        <w:trPr>
          <w:jc w:val="center"/>
        </w:trPr>
        <w:tc>
          <w:tcPr>
            <w:tcW w:w="765" w:type="dxa"/>
            <w:tcBorders>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kern w:val="0"/>
                <w:sz w:val="26"/>
                <w:szCs w:val="26"/>
              </w:rPr>
              <w:t>7.5</w:t>
            </w:r>
          </w:p>
        </w:tc>
        <w:tc>
          <w:tcPr>
            <w:tcW w:w="2608"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kern w:val="0"/>
                <w:sz w:val="26"/>
                <w:szCs w:val="26"/>
              </w:rPr>
              <w:t>Phương án quản lý chất thải rắn thông thường</w:t>
            </w:r>
          </w:p>
        </w:tc>
        <w:tc>
          <w:tcPr>
            <w:tcW w:w="147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sz w:val="26"/>
              </w:rPr>
              <w:t>Cần hoàn thiện</w:t>
            </w:r>
          </w:p>
        </w:tc>
        <w:tc>
          <w:tcPr>
            <w:tcW w:w="422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sz w:val="26"/>
              </w:rPr>
              <w:t>Khu lưu giữ, trung chuyển chất thải rắn được nêu tại Chương VII nhưng không có trong danh mục hạng mụ</w:t>
            </w:r>
            <w:r>
              <w:rPr>
                <w:sz w:val="26"/>
              </w:rPr>
              <w:t>c công trình và dự toán tại mục 3.1 Chương IV. Đề nghị bổ sung vị trí, diện tích, kết cấu và đưa vào dự toán.</w:t>
            </w:r>
          </w:p>
        </w:tc>
      </w:tr>
      <w:tr w:rsidR="002329F4">
        <w:trPr>
          <w:jc w:val="center"/>
        </w:trPr>
        <w:tc>
          <w:tcPr>
            <w:tcW w:w="765" w:type="dxa"/>
            <w:tcBorders>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kern w:val="0"/>
                <w:sz w:val="26"/>
                <w:szCs w:val="26"/>
              </w:rPr>
              <w:t>7.6</w:t>
            </w:r>
          </w:p>
        </w:tc>
        <w:tc>
          <w:tcPr>
            <w:tcW w:w="2608"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kern w:val="0"/>
                <w:sz w:val="26"/>
                <w:szCs w:val="26"/>
              </w:rPr>
              <w:t>Các biện pháp khác nhằm giảm thiểu tác động đến môi trường tiếp nhận nước thải</w:t>
            </w:r>
          </w:p>
        </w:tc>
        <w:tc>
          <w:tcPr>
            <w:tcW w:w="147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sz w:val="26"/>
              </w:rPr>
              <w:t>Cần hoàn thiện</w:t>
            </w:r>
          </w:p>
        </w:tc>
        <w:tc>
          <w:tcPr>
            <w:tcW w:w="422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sz w:val="26"/>
              </w:rPr>
              <w:t>Điểm xả nước mưa số 2 có tọa độ X = 2399371,17;</w:t>
            </w:r>
            <w:r>
              <w:rPr>
                <w:sz w:val="26"/>
              </w:rPr>
              <w:t xml:space="preserve"> Y = 522174,37, gần trùng với điểm xả nước thải sau xử lý có tọa độ X = 2399371; Y = 522172 (cách nhau khoảng 2,4 m), làm mất khả năng kiểm tra, lấy mẫu tách bạch và tiềm ẩn nguy cơ pha loãng nước thải bằng nước mưa. Đề nghị tách bạch vị trí hai điểm xả và</w:t>
            </w:r>
            <w:r>
              <w:rPr>
                <w:sz w:val="26"/>
              </w:rPr>
              <w:t xml:space="preserve"> bổ sung biển báo, sàn công tác tối thiểu 01 m2, lối đi phục vụ kiểm tra.</w:t>
            </w:r>
          </w:p>
        </w:tc>
      </w:tr>
      <w:tr w:rsidR="002329F4">
        <w:trPr>
          <w:jc w:val="center"/>
        </w:trPr>
        <w:tc>
          <w:tcPr>
            <w:tcW w:w="765" w:type="dxa"/>
            <w:tcBorders>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kern w:val="0"/>
                <w:sz w:val="26"/>
                <w:szCs w:val="26"/>
              </w:rPr>
              <w:t>7.7</w:t>
            </w:r>
          </w:p>
        </w:tc>
        <w:tc>
          <w:tcPr>
            <w:tcW w:w="2608"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kern w:val="0"/>
                <w:sz w:val="26"/>
                <w:szCs w:val="26"/>
              </w:rPr>
              <w:t>Các công trình, biện pháp phòng ngừa, ứng phó sự cố môi trường do chất thải gây ra</w:t>
            </w:r>
          </w:p>
        </w:tc>
        <w:tc>
          <w:tcPr>
            <w:tcW w:w="147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sz w:val="26"/>
              </w:rPr>
              <w:t>Cần hoàn thiện</w:t>
            </w:r>
          </w:p>
        </w:tc>
        <w:tc>
          <w:tcPr>
            <w:tcW w:w="422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sz w:val="26"/>
              </w:rPr>
              <w:t xml:space="preserve">Hồ sự cố dung tích 1.900 m3 tương ứng thời gian lưu 01 ngày; kích thước 52 m x </w:t>
            </w:r>
            <w:r>
              <w:rPr>
                <w:sz w:val="26"/>
              </w:rPr>
              <w:t>21,4 m x 2,5 m có mái taluy cần thuyết minh lại thể tích hữu ích. Cam kết thời gian khắc phục sự cố không quá 01 ngày chưa có cơ sở; đề nghị bổ sung phương án dự phòng cụ thể và hợp đồng nguyên tắc với đơn vị có chức năng.</w:t>
            </w:r>
          </w:p>
        </w:tc>
      </w:tr>
      <w:tr w:rsidR="002329F4">
        <w:trPr>
          <w:jc w:val="center"/>
        </w:trPr>
        <w:tc>
          <w:tcPr>
            <w:tcW w:w="765" w:type="dxa"/>
            <w:tcBorders>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kern w:val="0"/>
                <w:sz w:val="26"/>
                <w:szCs w:val="26"/>
              </w:rPr>
              <w:t>8</w:t>
            </w:r>
          </w:p>
        </w:tc>
        <w:tc>
          <w:tcPr>
            <w:tcW w:w="2608"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kern w:val="0"/>
                <w:sz w:val="26"/>
                <w:szCs w:val="26"/>
              </w:rPr>
              <w:t xml:space="preserve">Phương án cải tạo, phục hồi </w:t>
            </w:r>
            <w:r>
              <w:rPr>
                <w:kern w:val="0"/>
                <w:sz w:val="26"/>
                <w:szCs w:val="26"/>
              </w:rPr>
              <w:t>môi trường, bồi hoàn đa dạng sinh học (nếu có)</w:t>
            </w:r>
          </w:p>
        </w:tc>
        <w:tc>
          <w:tcPr>
            <w:tcW w:w="147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sz w:val="26"/>
              </w:rPr>
              <w:t>Không áp dụng</w:t>
            </w:r>
          </w:p>
        </w:tc>
        <w:tc>
          <w:tcPr>
            <w:tcW w:w="422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sz w:val="26"/>
              </w:rPr>
              <w:t>Dự án không thuộc đối tượng phải lập phương án cải tạo, phục hồi môi trường, bồi hoàn đa dạng sinh học.</w:t>
            </w:r>
          </w:p>
        </w:tc>
      </w:tr>
      <w:tr w:rsidR="002329F4">
        <w:trPr>
          <w:jc w:val="center"/>
        </w:trPr>
        <w:tc>
          <w:tcPr>
            <w:tcW w:w="765" w:type="dxa"/>
            <w:tcBorders>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kern w:val="0"/>
                <w:sz w:val="26"/>
                <w:szCs w:val="26"/>
              </w:rPr>
              <w:t>9</w:t>
            </w:r>
          </w:p>
        </w:tc>
        <w:tc>
          <w:tcPr>
            <w:tcW w:w="2608"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kern w:val="0"/>
                <w:sz w:val="26"/>
                <w:szCs w:val="26"/>
              </w:rPr>
              <w:t>Khối lượng chất thải nguy hại, chất thải công nghiệp phải kiểm soát</w:t>
            </w:r>
          </w:p>
        </w:tc>
        <w:tc>
          <w:tcPr>
            <w:tcW w:w="147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sz w:val="26"/>
              </w:rPr>
              <w:t>Cần hoàn thiện</w:t>
            </w:r>
          </w:p>
        </w:tc>
        <w:tc>
          <w:tcPr>
            <w:tcW w:w="422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sz w:val="26"/>
              </w:rPr>
              <w:t xml:space="preserve">Theo </w:t>
            </w:r>
            <w:r>
              <w:rPr>
                <w:sz w:val="26"/>
              </w:rPr>
              <w:t>nhận xét tại mục 4.1.4.</w:t>
            </w:r>
          </w:p>
        </w:tc>
      </w:tr>
      <w:tr w:rsidR="002329F4">
        <w:trPr>
          <w:jc w:val="center"/>
        </w:trPr>
        <w:tc>
          <w:tcPr>
            <w:tcW w:w="765" w:type="dxa"/>
            <w:tcBorders>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kern w:val="0"/>
                <w:sz w:val="26"/>
                <w:szCs w:val="26"/>
              </w:rPr>
              <w:t>10</w:t>
            </w:r>
          </w:p>
        </w:tc>
        <w:tc>
          <w:tcPr>
            <w:tcW w:w="2608"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kern w:val="0"/>
                <w:sz w:val="26"/>
                <w:szCs w:val="26"/>
              </w:rPr>
              <w:t>Khối lượng chất thải rắn thông thường (chất thải rắn công nghiệp thông thường, chất thải rắn sinh hoạt,…)</w:t>
            </w:r>
          </w:p>
        </w:tc>
        <w:tc>
          <w:tcPr>
            <w:tcW w:w="147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sz w:val="26"/>
              </w:rPr>
              <w:t>Cần hoàn thiện</w:t>
            </w:r>
          </w:p>
        </w:tc>
        <w:tc>
          <w:tcPr>
            <w:tcW w:w="422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sz w:val="26"/>
              </w:rPr>
              <w:t>Theo nhận xét tại mục 4.1.3.</w:t>
            </w:r>
          </w:p>
        </w:tc>
      </w:tr>
      <w:tr w:rsidR="002329F4">
        <w:trPr>
          <w:jc w:val="center"/>
        </w:trPr>
        <w:tc>
          <w:tcPr>
            <w:tcW w:w="765" w:type="dxa"/>
            <w:tcBorders>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kern w:val="0"/>
                <w:sz w:val="26"/>
                <w:szCs w:val="26"/>
              </w:rPr>
              <w:t>11</w:t>
            </w:r>
          </w:p>
        </w:tc>
        <w:tc>
          <w:tcPr>
            <w:tcW w:w="2608"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kern w:val="0"/>
                <w:sz w:val="26"/>
                <w:szCs w:val="26"/>
              </w:rPr>
              <w:t>Nội dung đề nghị cấp phép môi trường</w:t>
            </w:r>
          </w:p>
        </w:tc>
        <w:tc>
          <w:tcPr>
            <w:tcW w:w="147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sz w:val="26"/>
              </w:rPr>
              <w:t>Cần hoàn thiện</w:t>
            </w:r>
          </w:p>
        </w:tc>
        <w:tc>
          <w:tcPr>
            <w:tcW w:w="422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sz w:val="26"/>
              </w:rPr>
              <w:t xml:space="preserve">Theo nhận xét tại các </w:t>
            </w:r>
            <w:r>
              <w:rPr>
                <w:sz w:val="26"/>
              </w:rPr>
              <w:t>mục 11.1 và 11.3.</w:t>
            </w:r>
          </w:p>
        </w:tc>
      </w:tr>
      <w:tr w:rsidR="002329F4">
        <w:trPr>
          <w:jc w:val="center"/>
        </w:trPr>
        <w:tc>
          <w:tcPr>
            <w:tcW w:w="765" w:type="dxa"/>
            <w:tcBorders>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kern w:val="0"/>
                <w:sz w:val="26"/>
                <w:szCs w:val="26"/>
              </w:rPr>
              <w:t>11.1</w:t>
            </w:r>
          </w:p>
        </w:tc>
        <w:tc>
          <w:tcPr>
            <w:tcW w:w="2608"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kern w:val="0"/>
                <w:sz w:val="26"/>
                <w:szCs w:val="26"/>
              </w:rPr>
              <w:t>Nước thải</w:t>
            </w:r>
          </w:p>
        </w:tc>
        <w:tc>
          <w:tcPr>
            <w:tcW w:w="147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sz w:val="26"/>
              </w:rPr>
              <w:t>Cần hoàn thiện</w:t>
            </w:r>
          </w:p>
        </w:tc>
        <w:tc>
          <w:tcPr>
            <w:tcW w:w="422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sz w:val="26"/>
              </w:rPr>
              <w:t xml:space="preserve">Ba nội dung đề nghị làm rõ: (i) lưu lượng xả tối đa đề nghị cấp phép 1.900 m3/ngày đêm cần xác định lại sau khi tính đúng cân bằng nước nêu tại mục 4.1.1; (ii) tuyến ống xả: báo cáo ghi ống HDPE D140 dài 20 </w:t>
            </w:r>
            <w:r>
              <w:rPr>
                <w:sz w:val="26"/>
              </w:rPr>
              <w:t>m, trong khi bản vẽ quy hoạch hệ thống thoát nước thải và bản vẽ mặt bằng định vị trạm xử lý nước thải đều ghi HDPE D160 dài 216 m; tính theo chính tọa độ trong báo cáo thì khoảng cách từ trạm xử lý đến điểm xả khoảng 231 m, phù hợp bản vẽ; (iii) căn cứ lự</w:t>
            </w:r>
            <w:r>
              <w:rPr>
                <w:sz w:val="26"/>
              </w:rPr>
              <w:t>a chọn cột A QCVN 40:2025/BTNMT chưa rõ, trong khi nguồn tiếp nhận được đánh giá theo QCVN 08:2023/BTNMT mức B; tiêu đề Bảng 6.1 vẫn dùng cách diễn đạt của quy chuẩn cũ trong khi QCVN 40:2025/BTNMT đã bỏ hệ số Kq, Kf.</w:t>
            </w:r>
          </w:p>
        </w:tc>
      </w:tr>
      <w:tr w:rsidR="002329F4">
        <w:trPr>
          <w:jc w:val="center"/>
        </w:trPr>
        <w:tc>
          <w:tcPr>
            <w:tcW w:w="765" w:type="dxa"/>
            <w:tcBorders>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kern w:val="0"/>
                <w:sz w:val="26"/>
                <w:szCs w:val="26"/>
              </w:rPr>
              <w:t>11.2</w:t>
            </w:r>
          </w:p>
        </w:tc>
        <w:tc>
          <w:tcPr>
            <w:tcW w:w="2608"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rPr>
                <w:kern w:val="0"/>
                <w:sz w:val="26"/>
                <w:szCs w:val="26"/>
              </w:rPr>
            </w:pPr>
            <w:r>
              <w:rPr>
                <w:kern w:val="0"/>
                <w:sz w:val="26"/>
                <w:szCs w:val="26"/>
              </w:rPr>
              <w:t>Khí thải</w:t>
            </w:r>
          </w:p>
        </w:tc>
        <w:tc>
          <w:tcPr>
            <w:tcW w:w="147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sz w:val="26"/>
              </w:rPr>
              <w:t>Đạt yêu cầu</w:t>
            </w:r>
          </w:p>
        </w:tc>
        <w:tc>
          <w:tcPr>
            <w:tcW w:w="4224" w:type="dxa"/>
            <w:tcBorders>
              <w:bottom w:val="single" w:sz="8" w:space="0" w:color="000000"/>
              <w:right w:val="single" w:sz="8" w:space="0" w:color="000000"/>
            </w:tcBorders>
            <w:shd w:val="clear" w:color="auto" w:fill="FFFFFF"/>
            <w:vAlign w:val="center"/>
          </w:tcPr>
          <w:p w:rsidR="002329F4" w:rsidRDefault="002329F4" w:rsidP="00381DEE">
            <w:pPr>
              <w:spacing w:after="120" w:line="240" w:lineRule="auto"/>
              <w:jc w:val="both"/>
              <w:rPr>
                <w:kern w:val="0"/>
                <w:sz w:val="26"/>
                <w:szCs w:val="26"/>
              </w:rPr>
            </w:pPr>
          </w:p>
        </w:tc>
      </w:tr>
      <w:tr w:rsidR="002329F4">
        <w:trPr>
          <w:jc w:val="center"/>
        </w:trPr>
        <w:tc>
          <w:tcPr>
            <w:tcW w:w="765" w:type="dxa"/>
            <w:tcBorders>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kern w:val="0"/>
                <w:sz w:val="26"/>
                <w:szCs w:val="26"/>
              </w:rPr>
              <w:t>11.3</w:t>
            </w:r>
          </w:p>
        </w:tc>
        <w:tc>
          <w:tcPr>
            <w:tcW w:w="2608"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rPr>
                <w:kern w:val="0"/>
                <w:sz w:val="26"/>
                <w:szCs w:val="26"/>
              </w:rPr>
            </w:pPr>
            <w:r>
              <w:rPr>
                <w:kern w:val="0"/>
                <w:sz w:val="26"/>
                <w:szCs w:val="26"/>
              </w:rPr>
              <w:t>Tiếng ồn, độ rung</w:t>
            </w:r>
          </w:p>
        </w:tc>
        <w:tc>
          <w:tcPr>
            <w:tcW w:w="147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sz w:val="26"/>
              </w:rPr>
              <w:t>Cần hoàn thiện</w:t>
            </w:r>
          </w:p>
        </w:tc>
        <w:tc>
          <w:tcPr>
            <w:tcW w:w="422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sz w:val="26"/>
              </w:rPr>
              <w:t>Báo cáo ghi QCVN 26:2025/BTNMT và QCVN 27:2025/BTNMT là chưa đúng ký hiệu. Ký hiệu đúng là QCVN 26:2025/BNNMT về tiếng ồn và QCVN 27:2025/BNNMT về độ rung, ban hành kèm theo Thông tư số 01/2025/TT-BNNMT ngày 15/5/2025 của B</w:t>
            </w:r>
            <w:r>
              <w:rPr>
                <w:sz w:val="26"/>
              </w:rPr>
              <w:t>ộ trưởng Bộ Nông nghiệp và Môi trường.</w:t>
            </w:r>
          </w:p>
        </w:tc>
      </w:tr>
      <w:tr w:rsidR="002329F4">
        <w:trPr>
          <w:jc w:val="center"/>
        </w:trPr>
        <w:tc>
          <w:tcPr>
            <w:tcW w:w="765" w:type="dxa"/>
            <w:tcBorders>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kern w:val="0"/>
                <w:sz w:val="26"/>
                <w:szCs w:val="26"/>
              </w:rPr>
              <w:t>11.4</w:t>
            </w:r>
          </w:p>
        </w:tc>
        <w:tc>
          <w:tcPr>
            <w:tcW w:w="2608"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kern w:val="0"/>
                <w:sz w:val="26"/>
                <w:szCs w:val="26"/>
              </w:rPr>
              <w:t>Công trình, thiết bị xử lý chất thải nguy hại</w:t>
            </w:r>
          </w:p>
        </w:tc>
        <w:tc>
          <w:tcPr>
            <w:tcW w:w="147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sz w:val="26"/>
              </w:rPr>
              <w:t>Không áp dụng</w:t>
            </w:r>
          </w:p>
        </w:tc>
        <w:tc>
          <w:tcPr>
            <w:tcW w:w="422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sz w:val="26"/>
              </w:rPr>
              <w:t>Dự án không thực hiện dịch vụ xử lý chất thải nguy hại.</w:t>
            </w:r>
          </w:p>
        </w:tc>
      </w:tr>
      <w:tr w:rsidR="002329F4">
        <w:trPr>
          <w:jc w:val="center"/>
        </w:trPr>
        <w:tc>
          <w:tcPr>
            <w:tcW w:w="765" w:type="dxa"/>
            <w:tcBorders>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kern w:val="0"/>
                <w:sz w:val="26"/>
                <w:szCs w:val="26"/>
              </w:rPr>
              <w:t>11.5</w:t>
            </w:r>
          </w:p>
        </w:tc>
        <w:tc>
          <w:tcPr>
            <w:tcW w:w="2608"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kern w:val="0"/>
                <w:sz w:val="26"/>
                <w:szCs w:val="26"/>
              </w:rPr>
              <w:t>Mã chất thải nguy hại và khối lượng được phép xử lý</w:t>
            </w:r>
          </w:p>
        </w:tc>
        <w:tc>
          <w:tcPr>
            <w:tcW w:w="147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sz w:val="26"/>
              </w:rPr>
              <w:t>Không áp dụng</w:t>
            </w:r>
          </w:p>
        </w:tc>
        <w:tc>
          <w:tcPr>
            <w:tcW w:w="4224" w:type="dxa"/>
            <w:tcBorders>
              <w:bottom w:val="single" w:sz="8" w:space="0" w:color="000000"/>
              <w:right w:val="single" w:sz="8" w:space="0" w:color="000000"/>
            </w:tcBorders>
            <w:shd w:val="clear" w:color="auto" w:fill="FFFFFF"/>
            <w:vAlign w:val="center"/>
          </w:tcPr>
          <w:p w:rsidR="002329F4" w:rsidRDefault="002329F4" w:rsidP="00381DEE">
            <w:pPr>
              <w:spacing w:after="120" w:line="240" w:lineRule="auto"/>
              <w:jc w:val="both"/>
              <w:rPr>
                <w:kern w:val="0"/>
                <w:sz w:val="26"/>
                <w:szCs w:val="26"/>
              </w:rPr>
            </w:pPr>
          </w:p>
        </w:tc>
      </w:tr>
      <w:tr w:rsidR="002329F4">
        <w:trPr>
          <w:jc w:val="center"/>
        </w:trPr>
        <w:tc>
          <w:tcPr>
            <w:tcW w:w="765" w:type="dxa"/>
            <w:tcBorders>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kern w:val="0"/>
                <w:sz w:val="26"/>
                <w:szCs w:val="26"/>
              </w:rPr>
              <w:t>11.6</w:t>
            </w:r>
          </w:p>
        </w:tc>
        <w:tc>
          <w:tcPr>
            <w:tcW w:w="2608"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kern w:val="0"/>
                <w:sz w:val="26"/>
                <w:szCs w:val="26"/>
              </w:rPr>
              <w:t xml:space="preserve">Số lượng Trạm </w:t>
            </w:r>
            <w:r>
              <w:rPr>
                <w:kern w:val="0"/>
                <w:sz w:val="26"/>
                <w:szCs w:val="26"/>
              </w:rPr>
              <w:t>trung chuyển chất thải nguy hại; địa bàn hoạt động</w:t>
            </w:r>
          </w:p>
        </w:tc>
        <w:tc>
          <w:tcPr>
            <w:tcW w:w="147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sz w:val="26"/>
              </w:rPr>
              <w:t>Không áp dụng</w:t>
            </w:r>
          </w:p>
        </w:tc>
        <w:tc>
          <w:tcPr>
            <w:tcW w:w="4224" w:type="dxa"/>
            <w:tcBorders>
              <w:bottom w:val="single" w:sz="8" w:space="0" w:color="000000"/>
              <w:right w:val="single" w:sz="8" w:space="0" w:color="000000"/>
            </w:tcBorders>
            <w:shd w:val="clear" w:color="auto" w:fill="FFFFFF"/>
            <w:vAlign w:val="center"/>
          </w:tcPr>
          <w:p w:rsidR="002329F4" w:rsidRDefault="002329F4" w:rsidP="00381DEE">
            <w:pPr>
              <w:spacing w:after="120" w:line="240" w:lineRule="auto"/>
              <w:jc w:val="both"/>
              <w:rPr>
                <w:kern w:val="0"/>
                <w:sz w:val="26"/>
                <w:szCs w:val="26"/>
              </w:rPr>
            </w:pPr>
          </w:p>
        </w:tc>
      </w:tr>
      <w:tr w:rsidR="002329F4">
        <w:trPr>
          <w:jc w:val="center"/>
        </w:trPr>
        <w:tc>
          <w:tcPr>
            <w:tcW w:w="765" w:type="dxa"/>
            <w:tcBorders>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kern w:val="0"/>
                <w:sz w:val="26"/>
                <w:szCs w:val="26"/>
              </w:rPr>
              <w:t>11.7</w:t>
            </w:r>
          </w:p>
        </w:tc>
        <w:tc>
          <w:tcPr>
            <w:tcW w:w="2608"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kern w:val="0"/>
                <w:sz w:val="26"/>
                <w:szCs w:val="26"/>
              </w:rPr>
              <w:t>Loại, khối lượng phế liệu đề nghị nhập khẩu làm nguyên liệu sản xuất</w:t>
            </w:r>
          </w:p>
        </w:tc>
        <w:tc>
          <w:tcPr>
            <w:tcW w:w="147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sz w:val="26"/>
              </w:rPr>
              <w:t>Không áp dụng</w:t>
            </w:r>
          </w:p>
        </w:tc>
        <w:tc>
          <w:tcPr>
            <w:tcW w:w="422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sz w:val="26"/>
              </w:rPr>
              <w:t>Dự án không nhập khẩu phế liệu làm nguyên liệu sản xuất.</w:t>
            </w:r>
          </w:p>
        </w:tc>
      </w:tr>
      <w:tr w:rsidR="002329F4">
        <w:trPr>
          <w:jc w:val="center"/>
        </w:trPr>
        <w:tc>
          <w:tcPr>
            <w:tcW w:w="765" w:type="dxa"/>
            <w:tcBorders>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kern w:val="0"/>
                <w:sz w:val="26"/>
                <w:szCs w:val="26"/>
              </w:rPr>
              <w:t>12</w:t>
            </w:r>
          </w:p>
        </w:tc>
        <w:tc>
          <w:tcPr>
            <w:tcW w:w="2608"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kern w:val="0"/>
                <w:sz w:val="26"/>
                <w:szCs w:val="26"/>
              </w:rPr>
              <w:t xml:space="preserve">Sự phù hợp của kế hoạch vận hành thử </w:t>
            </w:r>
            <w:r>
              <w:rPr>
                <w:kern w:val="0"/>
                <w:sz w:val="26"/>
                <w:szCs w:val="26"/>
              </w:rPr>
              <w:t>nghiệm công trình xử lý chất thải và chương trình giám sát môi trường; tiêu chuẩn, quy chuẩn kỹ thuật môi trường áp dụng</w:t>
            </w:r>
          </w:p>
        </w:tc>
        <w:tc>
          <w:tcPr>
            <w:tcW w:w="147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sz w:val="26"/>
              </w:rPr>
              <w:t>Cần hoàn thiện</w:t>
            </w:r>
          </w:p>
        </w:tc>
        <w:tc>
          <w:tcPr>
            <w:tcW w:w="422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sz w:val="26"/>
              </w:rPr>
              <w:t>Theo nhận xét tại các mục 12.1 và 12.3.</w:t>
            </w:r>
          </w:p>
        </w:tc>
      </w:tr>
      <w:tr w:rsidR="002329F4">
        <w:trPr>
          <w:jc w:val="center"/>
        </w:trPr>
        <w:tc>
          <w:tcPr>
            <w:tcW w:w="765" w:type="dxa"/>
            <w:tcBorders>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kern w:val="0"/>
                <w:sz w:val="26"/>
                <w:szCs w:val="26"/>
              </w:rPr>
              <w:t>12.1</w:t>
            </w:r>
          </w:p>
        </w:tc>
        <w:tc>
          <w:tcPr>
            <w:tcW w:w="2608"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kern w:val="0"/>
                <w:sz w:val="26"/>
                <w:szCs w:val="26"/>
              </w:rPr>
              <w:t>Đối với nước thải</w:t>
            </w:r>
          </w:p>
        </w:tc>
        <w:tc>
          <w:tcPr>
            <w:tcW w:w="147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sz w:val="26"/>
              </w:rPr>
              <w:t>Cần hoàn thiện</w:t>
            </w:r>
          </w:p>
        </w:tc>
        <w:tc>
          <w:tcPr>
            <w:tcW w:w="422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sz w:val="26"/>
              </w:rPr>
              <w:t xml:space="preserve">Kế hoạch vận hành thử nghiệm lấy điều </w:t>
            </w:r>
            <w:r>
              <w:rPr>
                <w:sz w:val="26"/>
              </w:rPr>
              <w:t>kiện khởi động là lưu lượng nước thải phát sinh đạt 50% công suất thiết kế (khoảng 950 m3/ngày đêm). Với cụm công nghiệp mới thành lập, mốc này có thể kéo dài nhiều năm, không phù hợp thời hạn vận hành thử nghiệm theo Điều 31 Nghị định số 08/2022/NĐ-CP. Tr</w:t>
            </w:r>
            <w:r>
              <w:rPr>
                <w:sz w:val="26"/>
              </w:rPr>
              <w:t>ạm được đầu tư theo 03 module độc lập, mỗi module 634 m3/ngày đêm, nhưng kế hoạch chưa gắn với từng module. Đề nghị lập lại kế hoạch vận hành thử nghiệm theo module, phù hợp tiến độ lấp đầy.</w:t>
            </w:r>
          </w:p>
        </w:tc>
      </w:tr>
      <w:tr w:rsidR="002329F4">
        <w:trPr>
          <w:jc w:val="center"/>
        </w:trPr>
        <w:tc>
          <w:tcPr>
            <w:tcW w:w="765" w:type="dxa"/>
            <w:tcBorders>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kern w:val="0"/>
                <w:sz w:val="26"/>
                <w:szCs w:val="26"/>
              </w:rPr>
              <w:t>12.2</w:t>
            </w:r>
          </w:p>
        </w:tc>
        <w:tc>
          <w:tcPr>
            <w:tcW w:w="2608"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kern w:val="0"/>
                <w:sz w:val="26"/>
                <w:szCs w:val="26"/>
              </w:rPr>
              <w:t>Đối với khí thải</w:t>
            </w:r>
          </w:p>
        </w:tc>
        <w:tc>
          <w:tcPr>
            <w:tcW w:w="147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sz w:val="26"/>
              </w:rPr>
              <w:t>Không áp dụng</w:t>
            </w:r>
          </w:p>
        </w:tc>
        <w:tc>
          <w:tcPr>
            <w:tcW w:w="422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sz w:val="26"/>
              </w:rPr>
              <w:t xml:space="preserve">Hệ thống xử lý mùi của trạm </w:t>
            </w:r>
            <w:r>
              <w:rPr>
                <w:sz w:val="26"/>
              </w:rPr>
              <w:t>xử lý nước thải có lưu lượng 3.000 m3/giờ, dưới ngưỡng 5.000 m3/giờ nên không thuộc đối tượng phải vận hành thử nghiệm.</w:t>
            </w:r>
          </w:p>
        </w:tc>
      </w:tr>
      <w:tr w:rsidR="002329F4">
        <w:trPr>
          <w:jc w:val="center"/>
        </w:trPr>
        <w:tc>
          <w:tcPr>
            <w:tcW w:w="765" w:type="dxa"/>
            <w:tcBorders>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kern w:val="0"/>
                <w:sz w:val="26"/>
                <w:szCs w:val="26"/>
              </w:rPr>
              <w:t>12.3</w:t>
            </w:r>
          </w:p>
        </w:tc>
        <w:tc>
          <w:tcPr>
            <w:tcW w:w="2608"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kern w:val="0"/>
                <w:sz w:val="26"/>
                <w:szCs w:val="26"/>
              </w:rPr>
              <w:t>Giám sát khác</w:t>
            </w:r>
          </w:p>
        </w:tc>
        <w:tc>
          <w:tcPr>
            <w:tcW w:w="147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sz w:val="26"/>
              </w:rPr>
              <w:t>Cần hoàn thiện</w:t>
            </w:r>
          </w:p>
        </w:tc>
        <w:tc>
          <w:tcPr>
            <w:tcW w:w="422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sz w:val="26"/>
              </w:rPr>
              <w:t xml:space="preserve">Chưa có nội dung quan trắc chất lượng nước mặt tại nguồn tiếp nhận (thượng lưu và hạ lưu điểm xả) và </w:t>
            </w:r>
            <w:r>
              <w:rPr>
                <w:sz w:val="26"/>
              </w:rPr>
              <w:t>giám sát bùn thải của trạm xử lý nước thải tập trung. Đề nghị bổ sung.</w:t>
            </w:r>
          </w:p>
        </w:tc>
      </w:tr>
      <w:tr w:rsidR="002329F4">
        <w:trPr>
          <w:jc w:val="center"/>
        </w:trPr>
        <w:tc>
          <w:tcPr>
            <w:tcW w:w="765" w:type="dxa"/>
            <w:tcBorders>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kern w:val="0"/>
                <w:sz w:val="26"/>
                <w:szCs w:val="26"/>
              </w:rPr>
              <w:t>13</w:t>
            </w:r>
          </w:p>
        </w:tc>
        <w:tc>
          <w:tcPr>
            <w:tcW w:w="2608"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kern w:val="0"/>
                <w:sz w:val="26"/>
                <w:szCs w:val="26"/>
              </w:rPr>
              <w:t>Sự phù hợp về nội dung đề nghị xác nhận dự án đầu tư thuộc danh mục phân loại xanh (đối với trường hợp xác nhận dự án đầu tư thuộc danh mục phân loại xanh theo quy định tại Quyết đị</w:t>
            </w:r>
            <w:r>
              <w:rPr>
                <w:kern w:val="0"/>
                <w:sz w:val="26"/>
                <w:szCs w:val="26"/>
              </w:rPr>
              <w:t>nh số </w:t>
            </w:r>
            <w:hyperlink r:id="rId5" w:tgtFrame="_blank">
              <w:bookmarkStart w:id="1" w:name="tvpllink_lyluxkdmro_22"/>
              <w:r>
                <w:rPr>
                  <w:kern w:val="0"/>
                  <w:sz w:val="26"/>
                  <w:szCs w:val="26"/>
                </w:rPr>
                <w:t>21/2025/QĐ-TTg</w:t>
              </w:r>
            </w:hyperlink>
            <w:bookmarkEnd w:id="1"/>
            <w:r>
              <w:rPr>
                <w:kern w:val="0"/>
                <w:sz w:val="26"/>
                <w:szCs w:val="26"/>
              </w:rPr>
              <w:t>)</w:t>
            </w:r>
          </w:p>
        </w:tc>
        <w:tc>
          <w:tcPr>
            <w:tcW w:w="147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sz w:val="26"/>
              </w:rPr>
              <w:t>Không áp dụng</w:t>
            </w:r>
          </w:p>
        </w:tc>
        <w:tc>
          <w:tcPr>
            <w:tcW w:w="422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sz w:val="26"/>
              </w:rPr>
              <w:t xml:space="preserve">Chủ dự án không đề nghị xác nhận dự án đầu tư </w:t>
            </w:r>
            <w:r>
              <w:rPr>
                <w:sz w:val="26"/>
              </w:rPr>
              <w:t>thuộc danh mục phân loại xanh.</w:t>
            </w:r>
          </w:p>
        </w:tc>
      </w:tr>
      <w:tr w:rsidR="002329F4">
        <w:trPr>
          <w:jc w:val="center"/>
        </w:trPr>
        <w:tc>
          <w:tcPr>
            <w:tcW w:w="765" w:type="dxa"/>
            <w:tcBorders>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kern w:val="0"/>
                <w:sz w:val="26"/>
                <w:szCs w:val="26"/>
              </w:rPr>
              <w:t>13.1</w:t>
            </w:r>
          </w:p>
        </w:tc>
        <w:tc>
          <w:tcPr>
            <w:tcW w:w="2608"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kern w:val="0"/>
                <w:sz w:val="26"/>
                <w:szCs w:val="26"/>
              </w:rPr>
              <w:t>Tiêu chí môi trường đối với dự án đầu tư thuộc danh mục phân loại xanh</w:t>
            </w:r>
          </w:p>
        </w:tc>
        <w:tc>
          <w:tcPr>
            <w:tcW w:w="147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sz w:val="26"/>
              </w:rPr>
              <w:t>Không áp dụng</w:t>
            </w:r>
          </w:p>
        </w:tc>
        <w:tc>
          <w:tcPr>
            <w:tcW w:w="4224" w:type="dxa"/>
            <w:tcBorders>
              <w:bottom w:val="single" w:sz="8" w:space="0" w:color="000000"/>
              <w:right w:val="single" w:sz="8" w:space="0" w:color="000000"/>
            </w:tcBorders>
            <w:shd w:val="clear" w:color="auto" w:fill="FFFFFF"/>
            <w:vAlign w:val="center"/>
          </w:tcPr>
          <w:p w:rsidR="002329F4" w:rsidRDefault="002329F4" w:rsidP="00381DEE">
            <w:pPr>
              <w:spacing w:after="120" w:line="240" w:lineRule="auto"/>
              <w:jc w:val="both"/>
              <w:rPr>
                <w:kern w:val="0"/>
                <w:sz w:val="26"/>
                <w:szCs w:val="26"/>
              </w:rPr>
            </w:pPr>
          </w:p>
        </w:tc>
      </w:tr>
      <w:tr w:rsidR="002329F4">
        <w:trPr>
          <w:jc w:val="center"/>
        </w:trPr>
        <w:tc>
          <w:tcPr>
            <w:tcW w:w="765" w:type="dxa"/>
            <w:tcBorders>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kern w:val="0"/>
                <w:sz w:val="26"/>
                <w:szCs w:val="26"/>
              </w:rPr>
              <w:t>13.2</w:t>
            </w:r>
          </w:p>
        </w:tc>
        <w:tc>
          <w:tcPr>
            <w:tcW w:w="2608"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kern w:val="0"/>
                <w:sz w:val="26"/>
                <w:szCs w:val="26"/>
              </w:rPr>
              <w:t>Nội dung đề nghị xác nhận dự án đầu tư thuộc danh mục phân loại xanh</w:t>
            </w:r>
          </w:p>
        </w:tc>
        <w:tc>
          <w:tcPr>
            <w:tcW w:w="147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sz w:val="26"/>
              </w:rPr>
              <w:t>Không áp dụng</w:t>
            </w:r>
          </w:p>
        </w:tc>
        <w:tc>
          <w:tcPr>
            <w:tcW w:w="4224" w:type="dxa"/>
            <w:tcBorders>
              <w:bottom w:val="single" w:sz="8" w:space="0" w:color="000000"/>
              <w:right w:val="single" w:sz="8" w:space="0" w:color="000000"/>
            </w:tcBorders>
            <w:shd w:val="clear" w:color="auto" w:fill="FFFFFF"/>
            <w:vAlign w:val="center"/>
          </w:tcPr>
          <w:p w:rsidR="002329F4" w:rsidRDefault="002329F4" w:rsidP="00381DEE">
            <w:pPr>
              <w:spacing w:after="120" w:line="240" w:lineRule="auto"/>
              <w:jc w:val="both"/>
              <w:rPr>
                <w:kern w:val="0"/>
                <w:sz w:val="26"/>
                <w:szCs w:val="26"/>
              </w:rPr>
            </w:pPr>
          </w:p>
        </w:tc>
      </w:tr>
      <w:tr w:rsidR="002329F4">
        <w:trPr>
          <w:jc w:val="center"/>
        </w:trPr>
        <w:tc>
          <w:tcPr>
            <w:tcW w:w="765" w:type="dxa"/>
            <w:tcBorders>
              <w:left w:val="single" w:sz="8" w:space="0" w:color="000000"/>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kern w:val="0"/>
                <w:sz w:val="26"/>
                <w:szCs w:val="26"/>
              </w:rPr>
              <w:t>14</w:t>
            </w:r>
          </w:p>
        </w:tc>
        <w:tc>
          <w:tcPr>
            <w:tcW w:w="2608"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kern w:val="0"/>
                <w:sz w:val="26"/>
                <w:szCs w:val="26"/>
              </w:rPr>
              <w:t>Các cam kết của chủ dự án</w:t>
            </w:r>
          </w:p>
        </w:tc>
        <w:tc>
          <w:tcPr>
            <w:tcW w:w="147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center"/>
              <w:rPr>
                <w:kern w:val="0"/>
                <w:sz w:val="26"/>
                <w:szCs w:val="26"/>
              </w:rPr>
            </w:pPr>
            <w:r>
              <w:rPr>
                <w:sz w:val="26"/>
              </w:rPr>
              <w:t xml:space="preserve">Cần hoàn </w:t>
            </w:r>
            <w:r>
              <w:rPr>
                <w:sz w:val="26"/>
              </w:rPr>
              <w:t>thiện</w:t>
            </w:r>
          </w:p>
        </w:tc>
        <w:tc>
          <w:tcPr>
            <w:tcW w:w="4224" w:type="dxa"/>
            <w:tcBorders>
              <w:bottom w:val="single" w:sz="8" w:space="0" w:color="000000"/>
              <w:right w:val="single" w:sz="8" w:space="0" w:color="000000"/>
            </w:tcBorders>
            <w:shd w:val="clear" w:color="auto" w:fill="FFFFFF"/>
            <w:vAlign w:val="center"/>
          </w:tcPr>
          <w:p w:rsidR="002329F4" w:rsidRDefault="00086BC8" w:rsidP="00381DEE">
            <w:pPr>
              <w:spacing w:after="120" w:line="240" w:lineRule="auto"/>
              <w:jc w:val="both"/>
              <w:rPr>
                <w:kern w:val="0"/>
                <w:sz w:val="26"/>
                <w:szCs w:val="26"/>
              </w:rPr>
            </w:pPr>
            <w:r>
              <w:rPr>
                <w:sz w:val="26"/>
              </w:rPr>
              <w:t xml:space="preserve">Các cam kết tại Chương VIII còn chung chung. Đề nghị bổ sung 03 cam kết định lượng: (i) hoàn thành, nghiệm thu module số 1 của trạm xử lý nước thải tập trung trước khi tiếp nhận cơ sở thứ cấp đầu tiên có phát sinh nước thải; (ii) không tiếp nhận vào </w:t>
            </w:r>
            <w:r>
              <w:rPr>
                <w:sz w:val="26"/>
              </w:rPr>
              <w:t>cụm công nghiệp các ngành nghề, công đoạn có nước thải chứa thông số vượt quá năng lực xử lý của trạm; (iii) ban hành quy chế bảo vệ môi trường và quy định đấu nối trước khi cụm công nghiệp đi vào hoạt động.</w:t>
            </w:r>
          </w:p>
        </w:tc>
      </w:tr>
    </w:tbl>
    <w:p w:rsidR="002329F4" w:rsidRDefault="00086BC8" w:rsidP="00381DEE">
      <w:pPr>
        <w:shd w:val="clear" w:color="auto" w:fill="FFFFFF"/>
        <w:spacing w:after="120" w:line="240" w:lineRule="auto"/>
        <w:ind w:firstLine="567"/>
        <w:jc w:val="both"/>
        <w:rPr>
          <w:kern w:val="0"/>
          <w:sz w:val="26"/>
          <w:szCs w:val="26"/>
        </w:rPr>
      </w:pPr>
      <w:r>
        <w:rPr>
          <w:b/>
        </w:rPr>
        <w:t xml:space="preserve">6. Nhận xét về hình thức của báo cáo đề xuất </w:t>
      </w:r>
      <w:r>
        <w:rPr>
          <w:b/>
        </w:rPr>
        <w:t>cấp giấy phép môi trường:</w:t>
      </w:r>
    </w:p>
    <w:p w:rsidR="002329F4" w:rsidRDefault="00086BC8" w:rsidP="00381DEE">
      <w:pPr>
        <w:shd w:val="clear" w:color="auto" w:fill="FFFFFF"/>
        <w:spacing w:after="120" w:line="240" w:lineRule="auto"/>
        <w:ind w:firstLine="567"/>
        <w:jc w:val="both"/>
        <w:rPr>
          <w:kern w:val="0"/>
          <w:sz w:val="26"/>
          <w:szCs w:val="26"/>
        </w:rPr>
      </w:pPr>
      <w:r>
        <w:t xml:space="preserve">Báo cáo được lập theo Mẫu số 22c Phụ lục II (báo cáo đề xuất cấp, cấp lại giấy phép môi trường của dự án đầu tư nhóm II không thuộc đối tượng phải thực hiện đánh giá tác động môi trường và dự án đầu tư nhóm III) là phù hợp. Dự án </w:t>
      </w:r>
      <w:r>
        <w:t>đầu tư xây dựng và kinh doanh kết cấu hạ tầng cụm công nghiệp đã được loại khỏi đối tượng phải thực hiện đánh giá tác động môi trường theo Mục VI Phần A Phụ lục IX ban hành kèm theo Nghị quyết số 66.19/2026/NQ-CP ngày 18/5/2026 của Chính phủ, đồng thời vẫn</w:t>
      </w:r>
      <w:r>
        <w:t xml:space="preserve"> thuộc đối tượng phải có giấy phép môi trường theo Mục VII Phần A Phụ lục IX của Nghị quyết này.</w:t>
      </w:r>
    </w:p>
    <w:p w:rsidR="002329F4" w:rsidRDefault="00086BC8" w:rsidP="00381DEE">
      <w:pPr>
        <w:shd w:val="clear" w:color="auto" w:fill="FFFFFF"/>
        <w:spacing w:after="120" w:line="240" w:lineRule="auto"/>
        <w:ind w:firstLine="567"/>
        <w:jc w:val="both"/>
        <w:rPr>
          <w:kern w:val="0"/>
          <w:sz w:val="26"/>
          <w:szCs w:val="26"/>
        </w:rPr>
      </w:pPr>
      <w:r>
        <w:t>Báo cáo gồm 08 chương kèm phụ lục, đủ các chương theo mẫu; văn phong, trình bày rõ ràng. Về dung lượng, mục 2 Chương II (khả năng chịu tải) và các mục 2.3, 2.4</w:t>
      </w:r>
      <w:r>
        <w:t xml:space="preserve"> Chương III (hoạt động khai thác, sử dụng nước và hiện trạng xả nước thải tại khu vực tiếp nhận) quá sơ lược, không tương xứng với quy mô xả thải 1.900 m3/ngày đêm; các chương còn lại có dung lượng phù hợp.</w:t>
      </w:r>
    </w:p>
    <w:p w:rsidR="002329F4" w:rsidRDefault="00086BC8" w:rsidP="00381DEE">
      <w:pPr>
        <w:shd w:val="clear" w:color="auto" w:fill="FFFFFF"/>
        <w:spacing w:after="120" w:line="240" w:lineRule="auto"/>
        <w:ind w:firstLine="567"/>
        <w:jc w:val="both"/>
        <w:rPr>
          <w:kern w:val="0"/>
          <w:sz w:val="26"/>
          <w:szCs w:val="26"/>
        </w:rPr>
      </w:pPr>
      <w:r>
        <w:t>Về viện dẫn pháp lý, đề nghị rà soát toàn bộ, tro</w:t>
      </w:r>
      <w:r>
        <w:t>ng đó có các lỗi: ghi "Thông tư 41/2025/TT-BNNBNMT", "Thông tư 07/2025/TTBTNMT"; gọi Giấy chứng nhận số 11/GCN-BTNMT ngày 23/4/2025 là "Quyết định"; ghi sai ký hiệu QCVN về tiếng ồn, độ rung (nêu tại mục 11.3 Bảng trên); mục 2.2 Chương I ghi "các loại giấy</w:t>
      </w:r>
      <w:r>
        <w:t xml:space="preserve"> phép có liên quan đến môi trường của dự án đầu tư: Không có" là chưa chính xác.</w:t>
      </w:r>
    </w:p>
    <w:p w:rsidR="002329F4" w:rsidRDefault="00086BC8" w:rsidP="00381DEE">
      <w:pPr>
        <w:shd w:val="clear" w:color="auto" w:fill="FFFFFF"/>
        <w:spacing w:after="120" w:line="240" w:lineRule="auto"/>
        <w:ind w:firstLine="567"/>
        <w:jc w:val="both"/>
        <w:rPr>
          <w:kern w:val="0"/>
          <w:sz w:val="26"/>
          <w:szCs w:val="26"/>
        </w:rPr>
      </w:pPr>
      <w:r>
        <w:rPr>
          <w:b/>
        </w:rPr>
        <w:t>7. Những nhận xét khác:</w:t>
      </w:r>
    </w:p>
    <w:p w:rsidR="002329F4" w:rsidRDefault="00086BC8" w:rsidP="00381DEE">
      <w:pPr>
        <w:shd w:val="clear" w:color="auto" w:fill="FFFFFF"/>
        <w:spacing w:after="120" w:line="240" w:lineRule="auto"/>
        <w:ind w:firstLine="567"/>
        <w:jc w:val="both"/>
        <w:rPr>
          <w:kern w:val="0"/>
          <w:sz w:val="26"/>
          <w:szCs w:val="26"/>
        </w:rPr>
      </w:pPr>
      <w:r>
        <w:rPr>
          <w:b/>
        </w:rPr>
        <w:t>7.1. Về thông tin, số liệu làm cơ sở để lập báo cáo đề xuất cấp giấy phép môi trường:</w:t>
      </w:r>
    </w:p>
    <w:p w:rsidR="002329F4" w:rsidRDefault="00086BC8" w:rsidP="00381DEE">
      <w:pPr>
        <w:shd w:val="clear" w:color="auto" w:fill="FFFFFF"/>
        <w:spacing w:after="120" w:line="240" w:lineRule="auto"/>
        <w:ind w:firstLine="567"/>
        <w:jc w:val="both"/>
        <w:rPr>
          <w:kern w:val="0"/>
          <w:sz w:val="26"/>
          <w:szCs w:val="26"/>
        </w:rPr>
      </w:pPr>
      <w:r>
        <w:t xml:space="preserve">Thông tin về quy hoạch, sử dụng đất, tọa độ, hạng mục công trình </w:t>
      </w:r>
      <w:r>
        <w:t>cơ bản đầy đủ, có nguồn trích dẫn. Các điểm chưa bảo đảm độ tin cậy hoặc còn mâu thuẫn đã nêu tại các mục 2, 4.1.1 và 11.1 Bảng trên.</w:t>
      </w:r>
    </w:p>
    <w:p w:rsidR="002329F4" w:rsidRDefault="00086BC8" w:rsidP="00381DEE">
      <w:pPr>
        <w:shd w:val="clear" w:color="auto" w:fill="FFFFFF"/>
        <w:spacing w:after="120" w:line="240" w:lineRule="auto"/>
        <w:ind w:firstLine="567"/>
        <w:jc w:val="both"/>
        <w:rPr>
          <w:kern w:val="0"/>
          <w:sz w:val="26"/>
          <w:szCs w:val="26"/>
        </w:rPr>
      </w:pPr>
      <w:r>
        <w:t>- Hệ số ô nhiễm nước thải sinh hoạt được trích từ tài liệu năm 2006, đã quá cũ, đề nghị thay bằng nguồn cập nhật.</w:t>
      </w:r>
    </w:p>
    <w:p w:rsidR="002329F4" w:rsidRDefault="00086BC8" w:rsidP="00381DEE">
      <w:pPr>
        <w:shd w:val="clear" w:color="auto" w:fill="FFFFFF"/>
        <w:spacing w:after="120" w:line="240" w:lineRule="auto"/>
        <w:ind w:firstLine="567"/>
        <w:jc w:val="both"/>
        <w:rPr>
          <w:kern w:val="0"/>
          <w:sz w:val="26"/>
          <w:szCs w:val="26"/>
        </w:rPr>
      </w:pPr>
      <w:r>
        <w:rPr>
          <w:b/>
        </w:rPr>
        <w:t xml:space="preserve">7.2. Về </w:t>
      </w:r>
      <w:r>
        <w:rPr>
          <w:b/>
        </w:rPr>
        <w:t>mức độ thỏa đáng của các đánh giá, kết luận nêu trong báo cáo:</w:t>
      </w:r>
    </w:p>
    <w:p w:rsidR="002329F4" w:rsidRDefault="00086BC8" w:rsidP="00381DEE">
      <w:pPr>
        <w:shd w:val="clear" w:color="auto" w:fill="FFFFFF"/>
        <w:spacing w:after="120" w:line="240" w:lineRule="auto"/>
        <w:ind w:firstLine="567"/>
        <w:jc w:val="both"/>
        <w:rPr>
          <w:kern w:val="0"/>
          <w:sz w:val="26"/>
          <w:szCs w:val="26"/>
        </w:rPr>
      </w:pPr>
      <w:r>
        <w:t>Các đánh giá về giai đoạn thi công xây dựng cơ bản thỏa đáng, có định lượng. Ba kết luận sau đây chưa thỏa đáng:</w:t>
      </w:r>
    </w:p>
    <w:p w:rsidR="002329F4" w:rsidRDefault="00086BC8" w:rsidP="00381DEE">
      <w:pPr>
        <w:shd w:val="clear" w:color="auto" w:fill="FFFFFF"/>
        <w:spacing w:after="120" w:line="240" w:lineRule="auto"/>
        <w:ind w:firstLine="567"/>
        <w:jc w:val="both"/>
        <w:rPr>
          <w:kern w:val="0"/>
          <w:sz w:val="26"/>
          <w:szCs w:val="26"/>
        </w:rPr>
      </w:pPr>
      <w:r>
        <w:t>- Kết luận khả năng tiêu thoát nước của suối vẫn được bảo đảm, trong khi chính b</w:t>
      </w:r>
      <w:r>
        <w:t>áo cáo nêu mực nước dâng khoảng 0,8 m và không có tính toán khả năng tiếp nhận nước thải của nguồn nước.</w:t>
      </w:r>
    </w:p>
    <w:p w:rsidR="002329F4" w:rsidRDefault="00086BC8" w:rsidP="00381DEE">
      <w:pPr>
        <w:shd w:val="clear" w:color="auto" w:fill="FFFFFF"/>
        <w:spacing w:after="120" w:line="240" w:lineRule="auto"/>
        <w:ind w:firstLine="567"/>
        <w:jc w:val="both"/>
        <w:rPr>
          <w:kern w:val="0"/>
          <w:sz w:val="26"/>
          <w:szCs w:val="26"/>
        </w:rPr>
      </w:pPr>
      <w:r>
        <w:t>- Kết luận hệ thống xử lý nước thải đáp ứng cột A chưa được chứng minh bằng hiệu suất xử lý của từng công đoạn đối với kim loại nặng, xianua, phenol và</w:t>
      </w:r>
      <w:r>
        <w:t xml:space="preserve"> PCB.</w:t>
      </w:r>
    </w:p>
    <w:p w:rsidR="002329F4" w:rsidRDefault="00086BC8" w:rsidP="00381DEE">
      <w:pPr>
        <w:shd w:val="clear" w:color="auto" w:fill="FFFFFF"/>
        <w:spacing w:after="120" w:line="240" w:lineRule="auto"/>
        <w:ind w:firstLine="567"/>
        <w:jc w:val="both"/>
        <w:rPr>
          <w:kern w:val="0"/>
          <w:sz w:val="26"/>
          <w:szCs w:val="26"/>
        </w:rPr>
      </w:pPr>
      <w:r>
        <w:t>- Biện pháp yêu cầu các nhà đầu tư thứ cấp tạm dừng xả thải khi ngập úng hoặc khi trạm gặp sự cố là khó khả thi, cần thay bằng giải pháp công trình.</w:t>
      </w:r>
    </w:p>
    <w:p w:rsidR="002329F4" w:rsidRDefault="00086BC8" w:rsidP="00381DEE">
      <w:pPr>
        <w:shd w:val="clear" w:color="auto" w:fill="FFFFFF"/>
        <w:spacing w:after="120" w:line="240" w:lineRule="auto"/>
        <w:ind w:firstLine="567"/>
        <w:jc w:val="both"/>
        <w:rPr>
          <w:kern w:val="0"/>
          <w:sz w:val="26"/>
          <w:szCs w:val="26"/>
        </w:rPr>
      </w:pPr>
      <w:r>
        <w:rPr>
          <w:b/>
        </w:rPr>
        <w:t>7.3. Câu hỏi:</w:t>
      </w:r>
    </w:p>
    <w:p w:rsidR="002329F4" w:rsidRDefault="00086BC8" w:rsidP="00381DEE">
      <w:pPr>
        <w:shd w:val="clear" w:color="auto" w:fill="FFFFFF"/>
        <w:spacing w:after="120" w:line="240" w:lineRule="auto"/>
        <w:ind w:firstLine="567"/>
        <w:jc w:val="both"/>
        <w:rPr>
          <w:kern w:val="0"/>
          <w:sz w:val="26"/>
          <w:szCs w:val="26"/>
        </w:rPr>
      </w:pPr>
      <w:r>
        <w:t>- Tỉnh đã ban hành phân vùng xả thải nước thải làm căn cứ áp dụng cột A hay cột B của Q</w:t>
      </w:r>
      <w:r>
        <w:t>CVN 40:2025/BTNMT đối với nguồn tiếp nhận của dự án hay chưa? Nếu chưa, đề nghị làm rõ căn cứ lựa chọn cột A, trong khi quy định chuyển tiếp của Thông tư số 06/2025/TT-BTNMT ngày 28/02/2025 xác định trường hợp chưa xác định được phân vùng xả thải thì áp dụ</w:t>
      </w:r>
      <w:r>
        <w:t>ng cột B.</w:t>
      </w:r>
    </w:p>
    <w:p w:rsidR="002329F4" w:rsidRDefault="00086BC8" w:rsidP="00381DEE">
      <w:pPr>
        <w:shd w:val="clear" w:color="auto" w:fill="FFFFFF"/>
        <w:spacing w:after="120" w:line="240" w:lineRule="auto"/>
        <w:ind w:firstLine="567"/>
        <w:jc w:val="both"/>
        <w:rPr>
          <w:kern w:val="0"/>
          <w:sz w:val="26"/>
          <w:szCs w:val="26"/>
        </w:rPr>
      </w:pPr>
      <w:r>
        <w:t>- Lưu lượng dòng chảy của khe suối tiếp nhận vào mùa kiệt là bao nhiêu và được xác định bằng phương pháp nào?</w:t>
      </w:r>
    </w:p>
    <w:p w:rsidR="002329F4" w:rsidRDefault="00086BC8" w:rsidP="00381DEE">
      <w:pPr>
        <w:shd w:val="clear" w:color="auto" w:fill="FFFFFF"/>
        <w:spacing w:after="120" w:line="240" w:lineRule="auto"/>
        <w:ind w:firstLine="567"/>
        <w:jc w:val="both"/>
        <w:rPr>
          <w:kern w:val="0"/>
          <w:sz w:val="26"/>
          <w:szCs w:val="26"/>
        </w:rPr>
      </w:pPr>
      <w:r>
        <w:t>- Với nước thải đầu vào lấy theo cột B và nước thải đầu ra cam kết đạt cột A, công đoạn nào trong dây chuyền bảo đảm hiệu suất xử lý đối</w:t>
      </w:r>
      <w:r>
        <w:t xml:space="preserve"> với tổng phenol, niken, tổng xianua, asen, thủy ngân, florua? Riêng tổng PCB có giá trị đầu vào và đầu ra cùng là 0,003 mg/l thì được xử lý bằng cách nào?</w:t>
      </w:r>
    </w:p>
    <w:p w:rsidR="002329F4" w:rsidRDefault="00086BC8" w:rsidP="00381DEE">
      <w:pPr>
        <w:shd w:val="clear" w:color="auto" w:fill="FFFFFF"/>
        <w:spacing w:after="120" w:line="240" w:lineRule="auto"/>
        <w:ind w:firstLine="567"/>
        <w:jc w:val="both"/>
        <w:rPr>
          <w:kern w:val="0"/>
          <w:sz w:val="26"/>
          <w:szCs w:val="26"/>
        </w:rPr>
      </w:pPr>
      <w:r>
        <w:t>- Chủ dự án có xem xét phương án xây dựng ngưỡng tiếp nhận đấu nối riêng cho từng nhóm thông số (nới</w:t>
      </w:r>
      <w:r>
        <w:t xml:space="preserve"> lỏng đối với chất hữu cơ, siết chặt đối với kim loại nặng, xianua, phenol) thay vì lấy nguyên cột B làm ngưỡng đấu nối hay không?</w:t>
      </w:r>
    </w:p>
    <w:p w:rsidR="002329F4" w:rsidRDefault="00086BC8" w:rsidP="00381DEE">
      <w:pPr>
        <w:shd w:val="clear" w:color="auto" w:fill="FFFFFF"/>
        <w:spacing w:after="120" w:line="240" w:lineRule="auto"/>
        <w:ind w:firstLine="567"/>
        <w:jc w:val="both"/>
        <w:rPr>
          <w:kern w:val="0"/>
          <w:sz w:val="26"/>
          <w:szCs w:val="26"/>
        </w:rPr>
      </w:pPr>
      <w:r>
        <w:t>- Với danh mục ngành nghề thu hút đầu tư đã được phê duyệt, trong đó có nhóm cơ khí chế tạo, công nghiệp hỗ trợ, điện tử, chủ</w:t>
      </w:r>
      <w:r>
        <w:t xml:space="preserve"> dự án dự kiến kiểm soát như thế nào đối với các cơ sở có công đoạn mạ, xử lý bề mặt bằng hóa chất?</w:t>
      </w:r>
    </w:p>
    <w:p w:rsidR="002329F4" w:rsidRDefault="00086BC8" w:rsidP="00381DEE">
      <w:pPr>
        <w:shd w:val="clear" w:color="auto" w:fill="FFFFFF"/>
        <w:spacing w:after="120" w:line="240" w:lineRule="auto"/>
        <w:ind w:firstLine="567"/>
        <w:jc w:val="both"/>
        <w:rPr>
          <w:kern w:val="0"/>
          <w:sz w:val="26"/>
          <w:szCs w:val="26"/>
        </w:rPr>
      </w:pPr>
      <w:r>
        <w:t>- Module số 1 của trạm xử lý nước thải tập trung dự kiến hoàn thành, nghiệm thu vào thời điểm nào và gắn với tỷ lệ lấp đầy bao nhiêu; module số 2 và số 3 gắ</w:t>
      </w:r>
      <w:r>
        <w:t>n với mốc nào?</w:t>
      </w:r>
    </w:p>
    <w:p w:rsidR="002329F4" w:rsidRDefault="00086BC8" w:rsidP="00381DEE">
      <w:pPr>
        <w:shd w:val="clear" w:color="auto" w:fill="FFFFFF"/>
        <w:spacing w:after="120" w:line="240" w:lineRule="auto"/>
        <w:ind w:firstLine="567"/>
        <w:jc w:val="both"/>
        <w:rPr>
          <w:kern w:val="0"/>
          <w:sz w:val="26"/>
          <w:szCs w:val="26"/>
        </w:rPr>
      </w:pPr>
      <w:r>
        <w:rPr>
          <w:b/>
        </w:rPr>
        <w:t>8. Những yêu cầu đối với chủ dự án đầu tư:</w:t>
      </w:r>
    </w:p>
    <w:p w:rsidR="002329F4" w:rsidRDefault="00086BC8" w:rsidP="00381DEE">
      <w:pPr>
        <w:shd w:val="clear" w:color="auto" w:fill="FFFFFF"/>
        <w:spacing w:after="120" w:line="240" w:lineRule="auto"/>
        <w:ind w:firstLine="567"/>
        <w:jc w:val="both"/>
        <w:rPr>
          <w:kern w:val="0"/>
          <w:sz w:val="26"/>
          <w:szCs w:val="26"/>
        </w:rPr>
      </w:pPr>
      <w:r>
        <w:t xml:space="preserve">- Bổ sung tính toán khả năng tiếp nhận nước thải, sức chịu tải của nguồn nước khe suối tiếp nhận, kèm số liệu đo lưu lượng dòng chảy mùa kiệt và tính toán tải lượng cộng gộp với Cụm công nghiệp Phú </w:t>
      </w:r>
      <w:r>
        <w:t>Thịnh 2, Phú Thịnh 3.</w:t>
      </w:r>
    </w:p>
    <w:p w:rsidR="002329F4" w:rsidRDefault="00086BC8" w:rsidP="00381DEE">
      <w:pPr>
        <w:shd w:val="clear" w:color="auto" w:fill="FFFFFF"/>
        <w:spacing w:after="120" w:line="240" w:lineRule="auto"/>
        <w:ind w:firstLine="567"/>
        <w:jc w:val="both"/>
        <w:rPr>
          <w:kern w:val="0"/>
          <w:sz w:val="26"/>
          <w:szCs w:val="26"/>
        </w:rPr>
      </w:pPr>
      <w:r>
        <w:t>- Tính lại cân bằng nước, áp dụng thống nhất hệ số không điều hòa; luận chứng công suất trạm xử lý nước thải tập trung và hệ số dự phòng.</w:t>
      </w:r>
    </w:p>
    <w:p w:rsidR="002329F4" w:rsidRDefault="00086BC8" w:rsidP="00381DEE">
      <w:pPr>
        <w:shd w:val="clear" w:color="auto" w:fill="FFFFFF"/>
        <w:spacing w:after="120" w:line="240" w:lineRule="auto"/>
        <w:ind w:firstLine="567"/>
        <w:jc w:val="both"/>
        <w:rPr>
          <w:kern w:val="0"/>
          <w:sz w:val="26"/>
          <w:szCs w:val="26"/>
        </w:rPr>
      </w:pPr>
      <w:r>
        <w:t>- Luận chứng hiệu suất xử lý của từng công đoạn đối với các thông số kim loại nặng, xianua, phen</w:t>
      </w:r>
      <w:r>
        <w:t>ol, florua, PCB, hóa chất bảo vệ thực vật; bổ sung bậc xử lý nâng cao nếu cần, hoặc xây dựng ngưỡng tiếp nhận đấu nối riêng chặt hơn cột B đối với các thông số này.</w:t>
      </w:r>
    </w:p>
    <w:p w:rsidR="002329F4" w:rsidRDefault="00086BC8" w:rsidP="00381DEE">
      <w:pPr>
        <w:shd w:val="clear" w:color="auto" w:fill="FFFFFF"/>
        <w:spacing w:after="120" w:line="240" w:lineRule="auto"/>
        <w:ind w:firstLine="567"/>
        <w:jc w:val="both"/>
        <w:rPr>
          <w:kern w:val="0"/>
          <w:sz w:val="26"/>
          <w:szCs w:val="26"/>
        </w:rPr>
      </w:pPr>
      <w:r>
        <w:t>- Thống nhất thông số tuyến ống xả nước thải giữa báo cáo và hồ sơ thiết kế; tách bạch vị t</w:t>
      </w:r>
      <w:r>
        <w:t>rí điểm xả nước mưa số 2 với điểm xả nước thải; bố trí biển báo, sàn công tác, lối đi phục vụ kiểm tra.</w:t>
      </w:r>
    </w:p>
    <w:p w:rsidR="002329F4" w:rsidRDefault="00086BC8" w:rsidP="00381DEE">
      <w:pPr>
        <w:shd w:val="clear" w:color="auto" w:fill="FFFFFF"/>
        <w:spacing w:after="120" w:line="240" w:lineRule="auto"/>
        <w:ind w:firstLine="567"/>
        <w:jc w:val="both"/>
        <w:rPr>
          <w:kern w:val="0"/>
          <w:sz w:val="26"/>
          <w:szCs w:val="26"/>
        </w:rPr>
      </w:pPr>
      <w:r>
        <w:t>- Rà soát, sửa các viện dẫn quy chuẩn, văn bản nêu tại mục 6 và mục 11.3; làm rõ căn cứ áp dụng cột A QCVN 40:2025/BTNMT; sửa tiêu đề Bảng 6.1 cho phù h</w:t>
      </w:r>
      <w:r>
        <w:t>ợp quy chuẩn hiện hành.</w:t>
      </w:r>
    </w:p>
    <w:p w:rsidR="002329F4" w:rsidRDefault="00086BC8" w:rsidP="00381DEE">
      <w:pPr>
        <w:shd w:val="clear" w:color="auto" w:fill="FFFFFF"/>
        <w:spacing w:after="120" w:line="240" w:lineRule="auto"/>
        <w:ind w:firstLine="567"/>
        <w:jc w:val="both"/>
        <w:rPr>
          <w:kern w:val="0"/>
          <w:sz w:val="26"/>
          <w:szCs w:val="26"/>
        </w:rPr>
      </w:pPr>
      <w:r>
        <w:t>- Bổ sung dự thảo Quy chế bảo vệ môi trường cụm công nghiệp, quy định quản lý đấu nối nước thải kèm mẫu hợp đồng đấu nối; yêu cầu mỗi cơ sở thứ cấp lắp đồng hồ đo lưu lượng và hố ga đấu nối riêng đặt ngoài phần đất của cơ sở.</w:t>
      </w:r>
    </w:p>
    <w:p w:rsidR="002329F4" w:rsidRDefault="00086BC8" w:rsidP="00381DEE">
      <w:pPr>
        <w:shd w:val="clear" w:color="auto" w:fill="FFFFFF"/>
        <w:spacing w:after="120" w:line="240" w:lineRule="auto"/>
        <w:ind w:firstLine="567"/>
        <w:jc w:val="both"/>
        <w:rPr>
          <w:kern w:val="0"/>
          <w:sz w:val="26"/>
          <w:szCs w:val="26"/>
        </w:rPr>
      </w:pPr>
      <w:r>
        <w:t>- Bổ s</w:t>
      </w:r>
      <w:r>
        <w:t>ung danh mục ngành nghề, công đoạn sản xuất không tiếp nhận vào cụm công nghiệp, bảo đảm phù hợp với năng lực công nghệ của trạm xử lý nước thải tập trung và với ngành nghề đã được xác định tại quyết định thành lập cụm công nghiệp.</w:t>
      </w:r>
    </w:p>
    <w:p w:rsidR="002329F4" w:rsidRDefault="00086BC8" w:rsidP="00381DEE">
      <w:pPr>
        <w:shd w:val="clear" w:color="auto" w:fill="FFFFFF"/>
        <w:spacing w:after="120" w:line="240" w:lineRule="auto"/>
        <w:ind w:firstLine="567"/>
        <w:jc w:val="both"/>
        <w:rPr>
          <w:kern w:val="0"/>
          <w:sz w:val="26"/>
          <w:szCs w:val="26"/>
        </w:rPr>
      </w:pPr>
      <w:r>
        <w:t>- Bổ sung hạng mục khu l</w:t>
      </w:r>
      <w:r>
        <w:t>ưu giữ, trung chuyển chất thải rắn (vị trí, diện tích, kết cấu) vào danh mục công trình và dự toán; bổ sung phương án lấy mẫu, phân định bùn thải của trạm xử lý nước thải tập trung.</w:t>
      </w:r>
    </w:p>
    <w:p w:rsidR="002329F4" w:rsidRDefault="00086BC8" w:rsidP="00381DEE">
      <w:pPr>
        <w:shd w:val="clear" w:color="auto" w:fill="FFFFFF"/>
        <w:spacing w:after="120" w:line="240" w:lineRule="auto"/>
        <w:ind w:firstLine="567"/>
        <w:jc w:val="both"/>
        <w:rPr>
          <w:kern w:val="0"/>
          <w:sz w:val="26"/>
          <w:szCs w:val="26"/>
        </w:rPr>
      </w:pPr>
      <w:r>
        <w:t xml:space="preserve">- Thuyết minh lại thể tích hữu ích của hồ sự cố (kích thước 52 m x 21,4 m </w:t>
      </w:r>
      <w:r>
        <w:t>x 2,5 m có mái taluy) và bổ sung phương án ứng phó khi sự cố kéo dài quá thời gian lưu thiết kế.</w:t>
      </w:r>
    </w:p>
    <w:p w:rsidR="002329F4" w:rsidRDefault="00086BC8" w:rsidP="00381DEE">
      <w:pPr>
        <w:shd w:val="clear" w:color="auto" w:fill="FFFFFF"/>
        <w:spacing w:after="120" w:line="240" w:lineRule="auto"/>
        <w:ind w:firstLine="567"/>
        <w:jc w:val="both"/>
        <w:rPr>
          <w:kern w:val="0"/>
          <w:sz w:val="26"/>
          <w:szCs w:val="26"/>
        </w:rPr>
      </w:pPr>
      <w:r>
        <w:t>- Lập lại kế hoạch vận hành thử nghiệm theo từng module 634 m3/ngày đêm, phù hợp tiến độ lấp đầy và thời hạn vận hành thử nghiệm theo quy định; bổ sung quan tr</w:t>
      </w:r>
      <w:r>
        <w:t>ắc nước mặt thượng lưu, hạ lưu điểm xả vào chương trình giám sát.</w:t>
      </w:r>
    </w:p>
    <w:p w:rsidR="002329F4" w:rsidRDefault="00086BC8" w:rsidP="00381DEE">
      <w:pPr>
        <w:shd w:val="clear" w:color="auto" w:fill="FFFFFF"/>
        <w:spacing w:after="120" w:line="240" w:lineRule="auto"/>
        <w:ind w:firstLine="567"/>
        <w:jc w:val="both"/>
        <w:rPr>
          <w:kern w:val="0"/>
          <w:sz w:val="26"/>
          <w:szCs w:val="26"/>
        </w:rPr>
      </w:pPr>
      <w:r>
        <w:t>- Bổ sung các cam kết định lượng về tiến độ đầu tư, nghiệm thu từng module trạm xử lý nước thải tập trung gắn với việc tiếp nhận cơ sở thứ cấp.</w:t>
      </w:r>
    </w:p>
    <w:p w:rsidR="002329F4" w:rsidRDefault="00086BC8" w:rsidP="00381DEE">
      <w:pPr>
        <w:shd w:val="clear" w:color="auto" w:fill="FFFFFF"/>
        <w:spacing w:after="120" w:line="240" w:lineRule="auto"/>
        <w:ind w:firstLine="567"/>
        <w:jc w:val="both"/>
        <w:rPr>
          <w:kern w:val="0"/>
          <w:sz w:val="26"/>
          <w:szCs w:val="26"/>
        </w:rPr>
      </w:pPr>
      <w:r>
        <w:rPr>
          <w:b/>
        </w:rPr>
        <w:t>9. Kết luận:</w:t>
      </w:r>
    </w:p>
    <w:p w:rsidR="002329F4" w:rsidRDefault="00086BC8" w:rsidP="00381DEE">
      <w:pPr>
        <w:shd w:val="clear" w:color="auto" w:fill="FFFFFF"/>
        <w:spacing w:after="120" w:line="240" w:lineRule="auto"/>
        <w:ind w:firstLine="567"/>
        <w:jc w:val="both"/>
        <w:rPr>
          <w:kern w:val="0"/>
          <w:sz w:val="26"/>
          <w:szCs w:val="26"/>
        </w:rPr>
      </w:pPr>
      <w:r>
        <w:t>Thông qua với điều kiện phải chỉn</w:t>
      </w:r>
      <w:r>
        <w:t>h sửa, bổ sung.</w:t>
      </w:r>
    </w:p>
    <w:p w:rsidR="002329F4" w:rsidRDefault="00086BC8" w:rsidP="00381DEE">
      <w:pPr>
        <w:shd w:val="clear" w:color="auto" w:fill="FFFFFF"/>
        <w:spacing w:after="120" w:line="240" w:lineRule="auto"/>
        <w:ind w:firstLine="567"/>
        <w:jc w:val="both"/>
      </w:pPr>
      <w:bookmarkStart w:id="2" w:name="tc_13"/>
      <w:bookmarkStart w:id="3" w:name="tc_14"/>
      <w:bookmarkEnd w:id="2"/>
      <w:bookmarkEnd w:id="3"/>
      <w:r>
        <w:t>Chủ dự án chỉnh sửa, bổ sung đầy đủ các nội dung nêu tại mục 8, trong đó bắt buộc hoàn thành trước khi trình cấp có thẩm quyền xem xét cấp giấy phép môi trường: bổ sung tính toán khả năng tiếp nhận nước thải, sức chịu tải của nguồn nước kèm</w:t>
      </w:r>
      <w:r>
        <w:t xml:space="preserve"> số liệu lưu lượng mùa kiệt; tính lại cân bằng nước và luận chứng công suất trạm xử lý nước thải tập trung; luận chứng hiệu suất xử lý đối với các thông số kim loại nặng, xianua, phenol, PCB hoặc điều chỉnh ngưỡng tiếp nhận đấu nối; thống nhất thông số tuy</w:t>
      </w:r>
      <w:r>
        <w:t>ến ống xả giữa báo cáo và hồ sơ thiết kế. Trường hợp chủ dự án không chứng minh được nguồn nước tiếp nhận còn khả năng tiếp nhận và công nghệ xử lý đáp ứng quy chuẩn đề nghị cấp phép, đề nghị Hội đồng thẩm định xem xét chưa thông qua báo cáo.</w:t>
      </w:r>
    </w:p>
    <w:p w:rsidR="00381DEE" w:rsidRDefault="00381DEE" w:rsidP="00381DEE">
      <w:pPr>
        <w:shd w:val="clear" w:color="auto" w:fill="FFFFFF"/>
        <w:spacing w:after="120" w:line="240" w:lineRule="auto"/>
        <w:ind w:firstLine="567"/>
        <w:jc w:val="both"/>
        <w:rPr>
          <w:kern w:val="0"/>
          <w:sz w:val="26"/>
          <w:szCs w:val="26"/>
        </w:rPr>
      </w:pPr>
    </w:p>
    <w:p w:rsidR="002329F4" w:rsidRDefault="00086BC8" w:rsidP="00381DEE">
      <w:pPr>
        <w:keepNext/>
        <w:spacing w:after="120" w:line="240" w:lineRule="auto"/>
        <w:ind w:left="4252"/>
        <w:jc w:val="center"/>
      </w:pPr>
      <w:r>
        <w:rPr>
          <w:i/>
        </w:rPr>
        <w:t>Lào Cai, ngày</w:t>
      </w:r>
      <w:r>
        <w:rPr>
          <w:i/>
        </w:rPr>
        <w:t xml:space="preserve">      tháng      năm 2026</w:t>
      </w:r>
    </w:p>
    <w:p w:rsidR="002329F4" w:rsidRDefault="00086BC8" w:rsidP="00381DEE">
      <w:pPr>
        <w:keepNext/>
        <w:spacing w:after="120" w:line="240" w:lineRule="auto"/>
        <w:ind w:left="4252"/>
        <w:jc w:val="center"/>
      </w:pPr>
      <w:r>
        <w:rPr>
          <w:b/>
          <w:sz w:val="26"/>
        </w:rPr>
        <w:t>THÀNH VIÊN HỘI ĐỒNG THẨM ĐỊNH</w:t>
      </w:r>
    </w:p>
    <w:p w:rsidR="002329F4" w:rsidRDefault="00086BC8" w:rsidP="00381DEE">
      <w:pPr>
        <w:keepNext/>
        <w:spacing w:after="120" w:line="240" w:lineRule="auto"/>
        <w:ind w:left="4252"/>
        <w:jc w:val="center"/>
      </w:pPr>
      <w:r>
        <w:rPr>
          <w:i/>
        </w:rPr>
        <w:t>(Ký, ghi rõ họ tên)</w:t>
      </w:r>
    </w:p>
    <w:p w:rsidR="002329F4" w:rsidRDefault="002329F4" w:rsidP="00381DEE">
      <w:pPr>
        <w:keepNext/>
        <w:spacing w:after="120" w:line="240" w:lineRule="auto"/>
        <w:ind w:left="4252"/>
        <w:jc w:val="center"/>
      </w:pPr>
    </w:p>
    <w:p w:rsidR="002329F4" w:rsidRDefault="002329F4" w:rsidP="00381DEE">
      <w:pPr>
        <w:keepNext/>
        <w:spacing w:after="120" w:line="240" w:lineRule="auto"/>
        <w:ind w:left="4252"/>
        <w:jc w:val="center"/>
      </w:pPr>
    </w:p>
    <w:p w:rsidR="002329F4" w:rsidRDefault="002329F4" w:rsidP="00381DEE">
      <w:pPr>
        <w:keepNext/>
        <w:spacing w:after="120" w:line="240" w:lineRule="auto"/>
        <w:ind w:left="4252"/>
        <w:jc w:val="center"/>
      </w:pPr>
    </w:p>
    <w:p w:rsidR="002329F4" w:rsidRDefault="00086BC8" w:rsidP="00381DEE">
      <w:pPr>
        <w:spacing w:after="120" w:line="240" w:lineRule="auto"/>
        <w:ind w:left="4252"/>
        <w:jc w:val="center"/>
      </w:pPr>
      <w:r>
        <w:rPr>
          <w:b/>
        </w:rPr>
        <w:t>Trần Trọng Trang</w:t>
      </w:r>
    </w:p>
    <w:sectPr w:rsidR="002329F4" w:rsidSect="00381DEE">
      <w:pgSz w:w="11906" w:h="16838"/>
      <w:pgMar w:top="1134" w:right="1134" w:bottom="851" w:left="1701" w:header="0" w:footer="0" w:gutter="0"/>
      <w:cols w:space="720"/>
      <w:formProt w:val="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0"/>
    <w:family w:val="roman"/>
    <w:pitch w:val="variable"/>
  </w:font>
  <w:font w:name="Noto Serif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A974FB"/>
    <w:multiLevelType w:val="multilevel"/>
    <w:tmpl w:val="3F46CFB0"/>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20"/>
  <w:autoHyphenation/>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329F4"/>
    <w:rsid w:val="00086BC8"/>
    <w:rsid w:val="002329F4"/>
    <w:rsid w:val="00381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2CDC8E77"/>
  <w15:docId w15:val="{BAC2CDCD-740F-489A-8A62-E1A7385AA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FreeSans"/>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after="160" w:line="276" w:lineRule="auto"/>
    </w:pPr>
    <w:rPr>
      <w:rFonts w:ascii="Times New Roman" w:eastAsia="Times New Roman" w:hAnsi="Times New Roman" w:cs="Times New Roman"/>
      <w:kern w:val="2"/>
      <w:sz w:val="28"/>
      <w:szCs w:val="24"/>
      <w:lang w:eastAsia="zh-CN"/>
    </w:rPr>
  </w:style>
  <w:style w:type="paragraph" w:styleId="Heading1">
    <w:name w:val="heading 1"/>
    <w:basedOn w:val="Normal"/>
    <w:next w:val="Normal"/>
    <w:qFormat/>
    <w:pPr>
      <w:keepNext/>
      <w:keepLines/>
      <w:numPr>
        <w:numId w:val="1"/>
      </w:numPr>
      <w:spacing w:before="360" w:after="80"/>
      <w:outlineLvl w:val="0"/>
    </w:pPr>
    <w:rPr>
      <w:rFonts w:ascii="Aptos Display" w:hAnsi="Aptos Display"/>
      <w:color w:val="0F4761"/>
      <w:sz w:val="40"/>
      <w:szCs w:val="40"/>
    </w:rPr>
  </w:style>
  <w:style w:type="paragraph" w:styleId="Heading2">
    <w:name w:val="heading 2"/>
    <w:basedOn w:val="Normal"/>
    <w:next w:val="Normal"/>
    <w:qFormat/>
    <w:pPr>
      <w:keepNext/>
      <w:keepLines/>
      <w:numPr>
        <w:ilvl w:val="1"/>
        <w:numId w:val="1"/>
      </w:numPr>
      <w:spacing w:before="160" w:after="80"/>
      <w:outlineLvl w:val="1"/>
    </w:pPr>
    <w:rPr>
      <w:rFonts w:ascii="Aptos Display" w:hAnsi="Aptos Display"/>
      <w:color w:val="0F4761"/>
      <w:sz w:val="32"/>
      <w:szCs w:val="32"/>
    </w:rPr>
  </w:style>
  <w:style w:type="paragraph" w:styleId="Heading3">
    <w:name w:val="heading 3"/>
    <w:basedOn w:val="Normal"/>
    <w:next w:val="Normal"/>
    <w:qFormat/>
    <w:pPr>
      <w:keepNext/>
      <w:keepLines/>
      <w:numPr>
        <w:ilvl w:val="2"/>
        <w:numId w:val="1"/>
      </w:numPr>
      <w:spacing w:before="160" w:after="80"/>
      <w:outlineLvl w:val="2"/>
    </w:pPr>
    <w:rPr>
      <w:color w:val="0F4761"/>
      <w:szCs w:val="28"/>
    </w:rPr>
  </w:style>
  <w:style w:type="paragraph" w:styleId="Heading4">
    <w:name w:val="heading 4"/>
    <w:basedOn w:val="Normal"/>
    <w:next w:val="Normal"/>
    <w:qFormat/>
    <w:pPr>
      <w:keepNext/>
      <w:keepLines/>
      <w:numPr>
        <w:ilvl w:val="3"/>
        <w:numId w:val="1"/>
      </w:numPr>
      <w:spacing w:before="80" w:after="40"/>
      <w:outlineLvl w:val="3"/>
    </w:pPr>
    <w:rPr>
      <w:i/>
      <w:iCs/>
      <w:color w:val="0F4761"/>
    </w:rPr>
  </w:style>
  <w:style w:type="paragraph" w:styleId="Heading5">
    <w:name w:val="heading 5"/>
    <w:basedOn w:val="Normal"/>
    <w:next w:val="Normal"/>
    <w:qFormat/>
    <w:pPr>
      <w:keepNext/>
      <w:keepLines/>
      <w:numPr>
        <w:ilvl w:val="4"/>
        <w:numId w:val="1"/>
      </w:numPr>
      <w:spacing w:before="80" w:after="40"/>
      <w:outlineLvl w:val="4"/>
    </w:pPr>
    <w:rPr>
      <w:color w:val="0F4761"/>
    </w:rPr>
  </w:style>
  <w:style w:type="paragraph" w:styleId="Heading6">
    <w:name w:val="heading 6"/>
    <w:basedOn w:val="Normal"/>
    <w:next w:val="Normal"/>
    <w:qFormat/>
    <w:pPr>
      <w:keepNext/>
      <w:keepLines/>
      <w:numPr>
        <w:ilvl w:val="5"/>
        <w:numId w:val="1"/>
      </w:numPr>
      <w:spacing w:before="40" w:after="0"/>
      <w:outlineLvl w:val="5"/>
    </w:pPr>
    <w:rPr>
      <w:i/>
      <w:iCs/>
      <w:color w:val="595959"/>
    </w:rPr>
  </w:style>
  <w:style w:type="paragraph" w:styleId="Heading7">
    <w:name w:val="heading 7"/>
    <w:basedOn w:val="Normal"/>
    <w:next w:val="Normal"/>
    <w:qFormat/>
    <w:pPr>
      <w:keepNext/>
      <w:keepLines/>
      <w:numPr>
        <w:ilvl w:val="6"/>
        <w:numId w:val="1"/>
      </w:numPr>
      <w:spacing w:before="40" w:after="0"/>
      <w:outlineLvl w:val="6"/>
    </w:pPr>
    <w:rPr>
      <w:color w:val="595959"/>
    </w:rPr>
  </w:style>
  <w:style w:type="paragraph" w:styleId="Heading8">
    <w:name w:val="heading 8"/>
    <w:basedOn w:val="Normal"/>
    <w:next w:val="Normal"/>
    <w:qFormat/>
    <w:pPr>
      <w:keepNext/>
      <w:keepLines/>
      <w:numPr>
        <w:ilvl w:val="7"/>
        <w:numId w:val="1"/>
      </w:numPr>
      <w:spacing w:after="0"/>
      <w:outlineLvl w:val="7"/>
    </w:pPr>
    <w:rPr>
      <w:i/>
      <w:iCs/>
      <w:color w:val="272727"/>
    </w:rPr>
  </w:style>
  <w:style w:type="paragraph" w:styleId="Heading9">
    <w:name w:val="heading 9"/>
    <w:basedOn w:val="Normal"/>
    <w:next w:val="Normal"/>
    <w:qFormat/>
    <w:pPr>
      <w:keepNext/>
      <w:keepLines/>
      <w:numPr>
        <w:ilvl w:val="8"/>
        <w:numId w:val="1"/>
      </w:numPr>
      <w:spacing w:after="0"/>
      <w:outlineLvl w:val="8"/>
    </w:pPr>
    <w:rPr>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qFormat/>
    <w:rPr>
      <w:rFonts w:ascii="Aptos Display" w:eastAsia="Times New Roman" w:hAnsi="Aptos Display" w:cs="Times New Roman"/>
      <w:color w:val="0F4761"/>
      <w:sz w:val="40"/>
      <w:szCs w:val="40"/>
    </w:rPr>
  </w:style>
  <w:style w:type="character" w:customStyle="1" w:styleId="Heading2Char">
    <w:name w:val="Heading 2 Char"/>
    <w:qFormat/>
    <w:rPr>
      <w:rFonts w:ascii="Aptos Display" w:eastAsia="Times New Roman" w:hAnsi="Aptos Display" w:cs="Times New Roman"/>
      <w:color w:val="0F4761"/>
      <w:sz w:val="32"/>
      <w:szCs w:val="32"/>
    </w:rPr>
  </w:style>
  <w:style w:type="character" w:customStyle="1" w:styleId="Heading3Char">
    <w:name w:val="Heading 3 Char"/>
    <w:qFormat/>
    <w:rPr>
      <w:rFonts w:eastAsia="Times New Roman" w:cs="Times New Roman"/>
      <w:color w:val="0F4761"/>
      <w:sz w:val="28"/>
      <w:szCs w:val="28"/>
    </w:rPr>
  </w:style>
  <w:style w:type="character" w:customStyle="1" w:styleId="Heading4Char">
    <w:name w:val="Heading 4 Char"/>
    <w:qFormat/>
    <w:rPr>
      <w:rFonts w:eastAsia="Times New Roman" w:cs="Times New Roman"/>
      <w:i/>
      <w:iCs/>
      <w:color w:val="0F4761"/>
    </w:rPr>
  </w:style>
  <w:style w:type="character" w:customStyle="1" w:styleId="Heading5Char">
    <w:name w:val="Heading 5 Char"/>
    <w:qFormat/>
    <w:rPr>
      <w:rFonts w:eastAsia="Times New Roman" w:cs="Times New Roman"/>
      <w:color w:val="0F4761"/>
    </w:rPr>
  </w:style>
  <w:style w:type="character" w:customStyle="1" w:styleId="Heading6Char">
    <w:name w:val="Heading 6 Char"/>
    <w:qFormat/>
    <w:rPr>
      <w:rFonts w:eastAsia="Times New Roman" w:cs="Times New Roman"/>
      <w:i/>
      <w:iCs/>
      <w:color w:val="595959"/>
    </w:rPr>
  </w:style>
  <w:style w:type="character" w:customStyle="1" w:styleId="Heading7Char">
    <w:name w:val="Heading 7 Char"/>
    <w:qFormat/>
    <w:rPr>
      <w:rFonts w:eastAsia="Times New Roman" w:cs="Times New Roman"/>
      <w:color w:val="595959"/>
    </w:rPr>
  </w:style>
  <w:style w:type="character" w:customStyle="1" w:styleId="Heading8Char">
    <w:name w:val="Heading 8 Char"/>
    <w:qFormat/>
    <w:rPr>
      <w:rFonts w:eastAsia="Times New Roman" w:cs="Times New Roman"/>
      <w:i/>
      <w:iCs/>
      <w:color w:val="272727"/>
    </w:rPr>
  </w:style>
  <w:style w:type="character" w:customStyle="1" w:styleId="Heading9Char">
    <w:name w:val="Heading 9 Char"/>
    <w:qFormat/>
    <w:rPr>
      <w:rFonts w:eastAsia="Times New Roman" w:cs="Times New Roman"/>
      <w:color w:val="272727"/>
    </w:rPr>
  </w:style>
  <w:style w:type="character" w:customStyle="1" w:styleId="TitleChar">
    <w:name w:val="Title Char"/>
    <w:qFormat/>
    <w:rPr>
      <w:rFonts w:ascii="Aptos Display" w:eastAsia="Times New Roman" w:hAnsi="Aptos Display" w:cs="Times New Roman"/>
      <w:spacing w:val="-10"/>
      <w:kern w:val="2"/>
      <w:sz w:val="56"/>
      <w:szCs w:val="56"/>
    </w:rPr>
  </w:style>
  <w:style w:type="character" w:customStyle="1" w:styleId="SubtitleChar">
    <w:name w:val="Subtitle Char"/>
    <w:qFormat/>
    <w:rPr>
      <w:rFonts w:eastAsia="Times New Roman" w:cs="Times New Roman"/>
      <w:color w:val="595959"/>
      <w:spacing w:val="15"/>
      <w:sz w:val="28"/>
      <w:szCs w:val="28"/>
    </w:rPr>
  </w:style>
  <w:style w:type="character" w:customStyle="1" w:styleId="QuoteChar">
    <w:name w:val="Quote Char"/>
    <w:qFormat/>
    <w:rPr>
      <w:i/>
      <w:iCs/>
      <w:color w:val="404040"/>
    </w:rPr>
  </w:style>
  <w:style w:type="character" w:styleId="IntenseEmphasis">
    <w:name w:val="Intense Emphasis"/>
    <w:qFormat/>
    <w:rPr>
      <w:i/>
      <w:iCs/>
      <w:color w:val="0F4761"/>
    </w:rPr>
  </w:style>
  <w:style w:type="character" w:customStyle="1" w:styleId="IntenseQuoteChar">
    <w:name w:val="Intense Quote Char"/>
    <w:qFormat/>
    <w:rPr>
      <w:i/>
      <w:iCs/>
      <w:color w:val="0F4761"/>
    </w:rPr>
  </w:style>
  <w:style w:type="character" w:styleId="IntenseReference">
    <w:name w:val="Intense Reference"/>
    <w:qFormat/>
    <w:rPr>
      <w:b/>
      <w:bCs/>
      <w:smallCaps/>
      <w:color w:val="0F4761"/>
      <w:spacing w:val="5"/>
    </w:rPr>
  </w:style>
  <w:style w:type="character" w:styleId="Hyperlink">
    <w:name w:val="Hyperlink"/>
    <w:rPr>
      <w:color w:val="467886"/>
      <w:u w:val="single"/>
    </w:rPr>
  </w:style>
  <w:style w:type="character" w:customStyle="1" w:styleId="UnresolvedMention">
    <w:name w:val="Unresolved Mention"/>
    <w:qFormat/>
    <w:rPr>
      <w:color w:val="605E5C"/>
      <w:shd w:val="clear" w:color="auto" w:fill="E1DFDD"/>
    </w:rPr>
  </w:style>
  <w:style w:type="paragraph" w:customStyle="1" w:styleId="Heading">
    <w:name w:val="Heading"/>
    <w:basedOn w:val="Normal"/>
    <w:next w:val="Normal"/>
    <w:qFormat/>
    <w:pPr>
      <w:spacing w:after="80" w:line="240" w:lineRule="auto"/>
      <w:contextualSpacing/>
    </w:pPr>
    <w:rPr>
      <w:rFonts w:ascii="Aptos Display" w:hAnsi="Aptos Display"/>
      <w:spacing w:val="-10"/>
      <w:sz w:val="56"/>
      <w:szCs w:val="56"/>
    </w:rPr>
  </w:style>
  <w:style w:type="paragraph" w:styleId="BodyText">
    <w:name w:val="Body Text"/>
    <w:basedOn w:val="Normal"/>
    <w:pPr>
      <w:spacing w:after="14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styleId="Subtitle">
    <w:name w:val="Subtitle"/>
    <w:basedOn w:val="Normal"/>
    <w:next w:val="Normal"/>
    <w:qFormat/>
    <w:rPr>
      <w:color w:val="595959"/>
      <w:spacing w:val="15"/>
      <w:szCs w:val="28"/>
    </w:rPr>
  </w:style>
  <w:style w:type="paragraph" w:styleId="Quote">
    <w:name w:val="Quote"/>
    <w:basedOn w:val="Normal"/>
    <w:next w:val="Normal"/>
    <w:qFormat/>
    <w:pPr>
      <w:spacing w:before="160"/>
      <w:jc w:val="center"/>
    </w:pPr>
    <w:rPr>
      <w:i/>
      <w:iCs/>
      <w:color w:val="404040"/>
    </w:rPr>
  </w:style>
  <w:style w:type="paragraph" w:styleId="ListParagraph">
    <w:name w:val="List Paragraph"/>
    <w:basedOn w:val="Normal"/>
    <w:qFormat/>
    <w:pPr>
      <w:ind w:left="720"/>
      <w:contextualSpacing/>
    </w:pPr>
  </w:style>
  <w:style w:type="paragraph" w:styleId="IntenseQuote">
    <w:name w:val="Intense Quote"/>
    <w:basedOn w:val="Normal"/>
    <w:next w:val="Normal"/>
    <w:qFormat/>
    <w:pPr>
      <w:pBdr>
        <w:top w:val="single" w:sz="4" w:space="10" w:color="0F4761"/>
        <w:bottom w:val="single" w:sz="4" w:space="10" w:color="0F4761"/>
      </w:pBdr>
      <w:spacing w:before="360" w:after="360"/>
      <w:ind w:left="864" w:right="864"/>
      <w:jc w:val="center"/>
    </w:pPr>
    <w:rPr>
      <w:i/>
      <w:iCs/>
      <w:color w:val="0F4761"/>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BalloonText">
    <w:name w:val="Balloon Text"/>
    <w:basedOn w:val="Normal"/>
    <w:link w:val="BalloonTextChar"/>
    <w:uiPriority w:val="99"/>
    <w:semiHidden/>
    <w:unhideWhenUsed/>
    <w:rsid w:val="00381DEE"/>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381DEE"/>
    <w:rPr>
      <w:rFonts w:ascii="Segoe UI" w:eastAsia="Times New Roman" w:hAnsi="Segoe UI" w:cs="Segoe UI"/>
      <w:kern w:val="2"/>
      <w:sz w:val="18"/>
      <w:szCs w:val="18"/>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huvienphapluat.vn/van-ban/Tien-te-Ngan-hang/Quyet-dinh-21-2025-QD-TTg-xac-nhan-du-an-dau-tu-thuoc-danh-muc-phan-loai-xanh-650735.aspx"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12</Pages>
  <Words>2951</Words>
  <Characters>16823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cp:lastPrinted>2026-08-12T15:04:00Z</cp:lastPrinted>
  <dcterms:created xsi:type="dcterms:W3CDTF">2026-08-12T14:51:00Z</dcterms:created>
  <dcterms:modified xsi:type="dcterms:W3CDTF">2026-08-12T15:08:00Z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2026-08-11T04:00:00Z</dcterms:created>
  <dc:creator>thunganhunre@gmail.com</dc:creator>
  <dc:description/>
  <cp:keywords/>
  <dc:language>en-US</dc:language>
  <cp:lastModifiedBy>thunganhunre@gmail.com</cp:lastModifiedBy>
  <dcterms:modified xsi:type="dcterms:W3CDTF">2026-08-11T04:03:00Z</dcterms:modified>
  <cp:revision>1</cp:revision>
  <dc:subject/>
  <dc:title/>
</cp:coreProperties>
</file>