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7CE" w:rsidRDefault="00F63160">
      <w:pPr>
        <w:shd w:val="clear" w:color="auto" w:fill="FFFFFF"/>
        <w:spacing w:after="0" w:line="240" w:lineRule="auto"/>
        <w:jc w:val="center"/>
        <w:outlineLvl w:val="0"/>
        <w:rPr>
          <w:rFonts w:ascii="Times New Roman" w:eastAsia="Times New Roman" w:hAnsi="Times New Roman"/>
          <w:b/>
          <w:bCs/>
          <w:sz w:val="26"/>
          <w:szCs w:val="26"/>
        </w:rPr>
      </w:pPr>
      <w:r>
        <w:rPr>
          <w:rFonts w:ascii="Times New Roman" w:eastAsia="Times New Roman" w:hAnsi="Times New Roman"/>
          <w:b/>
          <w:bCs/>
          <w:sz w:val="28"/>
          <w:szCs w:val="26"/>
        </w:rPr>
        <w:t>CỘNG HÒA XÃ HỘI CHỦ NGHĨA VIỆT NAM</w:t>
      </w:r>
    </w:p>
    <w:p w:rsidR="007347CE" w:rsidRDefault="00F63160">
      <w:pPr>
        <w:shd w:val="clear" w:color="auto" w:fill="FFFFFF"/>
        <w:spacing w:after="0" w:line="240" w:lineRule="auto"/>
        <w:jc w:val="center"/>
        <w:outlineLvl w:val="0"/>
        <w:rPr>
          <w:rFonts w:ascii="Times New Roman" w:eastAsia="Times New Roman" w:hAnsi="Times New Roman"/>
          <w:b/>
          <w:bCs/>
          <w:sz w:val="26"/>
          <w:szCs w:val="26"/>
        </w:rPr>
      </w:pPr>
      <w:r>
        <w:rPr>
          <w:rFonts w:ascii="Times New Roman" w:eastAsia="Times New Roman" w:hAnsi="Times New Roman"/>
          <w:b/>
          <w:bCs/>
          <w:sz w:val="28"/>
          <w:szCs w:val="26"/>
        </w:rPr>
        <w:t>Độc lập – Tự do – Hạnh phúc</w:t>
      </w:r>
    </w:p>
    <w:p w:rsidR="007347CE" w:rsidRDefault="005102C0">
      <w:pPr>
        <w:spacing w:after="60"/>
        <w:jc w:val="center"/>
      </w:pPr>
      <w:r>
        <w:rPr>
          <w:rFonts w:ascii="Times New Roman" w:hAnsi="Times New Roman"/>
          <w:sz w:val="28"/>
        </w:rPr>
        <w:pict>
          <v:line id="LineTieuNgu" o:spid="_x0000_s1026" style="position:absolute;left:0;text-align:left;z-index:1;mso-position-horizontal:center;mso-position-horizontal-relative:margin;mso-position-vertical:absolute;mso-position-vertical-relative:text" from="0,2pt" to="120pt,2pt" strokeweight=".8pt">
            <w10:wrap anchorx="margin"/>
          </v:line>
        </w:pict>
      </w:r>
    </w:p>
    <w:p w:rsidR="007347CE" w:rsidRDefault="00F63160">
      <w:pPr>
        <w:shd w:val="clear" w:color="auto" w:fill="FFFFFF"/>
        <w:spacing w:after="0" w:line="396" w:lineRule="atLeast"/>
        <w:jc w:val="center"/>
        <w:outlineLvl w:val="0"/>
        <w:rPr>
          <w:rFonts w:ascii="Times New Roman" w:eastAsia="Times New Roman" w:hAnsi="Times New Roman"/>
          <w:b/>
          <w:bCs/>
          <w:sz w:val="26"/>
          <w:szCs w:val="26"/>
        </w:rPr>
      </w:pPr>
      <w:r>
        <w:rPr>
          <w:rFonts w:ascii="Times New Roman" w:eastAsia="Times New Roman" w:hAnsi="Times New Roman"/>
          <w:b/>
          <w:bCs/>
          <w:sz w:val="28"/>
          <w:szCs w:val="26"/>
        </w:rPr>
        <w:t>BẢN NHẬN XÉT</w:t>
      </w:r>
    </w:p>
    <w:p w:rsidR="007347CE" w:rsidRDefault="00F63160">
      <w:pPr>
        <w:shd w:val="clear" w:color="auto" w:fill="FFFFFF"/>
        <w:spacing w:after="0" w:line="240" w:lineRule="auto"/>
        <w:jc w:val="center"/>
        <w:outlineLvl w:val="1"/>
        <w:rPr>
          <w:rFonts w:ascii="Times New Roman" w:eastAsia="Times New Roman" w:hAnsi="Times New Roman"/>
          <w:b/>
          <w:bCs/>
          <w:kern w:val="0"/>
          <w:sz w:val="26"/>
          <w:szCs w:val="26"/>
        </w:rPr>
      </w:pPr>
      <w:r>
        <w:rPr>
          <w:rFonts w:ascii="Times New Roman" w:eastAsia="Times New Roman" w:hAnsi="Times New Roman"/>
          <w:b/>
          <w:bCs/>
          <w:spacing w:val="-6"/>
          <w:kern w:val="0"/>
          <w:sz w:val="28"/>
          <w:szCs w:val="26"/>
        </w:rPr>
        <w:t>Báo cáo đề xuất cấp giấy phép môi trường của thành viên Hội đồng thẩm định</w:t>
      </w:r>
    </w:p>
    <w:p w:rsidR="007347CE" w:rsidRDefault="007347CE">
      <w:pPr>
        <w:shd w:val="clear" w:color="auto" w:fill="FFFFFF"/>
        <w:spacing w:before="120" w:after="120" w:line="234" w:lineRule="atLeast"/>
        <w:rPr>
          <w:rFonts w:ascii="Times New Roman" w:eastAsia="Times New Roman" w:hAnsi="Times New Roman"/>
          <w:b/>
          <w:bCs/>
          <w:kern w:val="0"/>
          <w:sz w:val="26"/>
          <w:szCs w:val="26"/>
          <w:lang w:val="vi-VN"/>
        </w:rPr>
      </w:pP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1. Họ và tên người nhận xét: Trần Trọng Trang.</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2. Học hàm, học vị, chức vụ công tác: Thạc sỹ Kinh tế; Phó Trưởng phòng Quản lý công nghiệp, Sở Công Thương tỉnh Lào Cai. Chức danh trong Hội đồng thẩm định: Thành viên.</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3. Nơi công tác: Sở Công Thương tỉnh Lào Cai; địa chỉ: Số 165, đường Lý Thường Kiệt, phường Yên Bái, tỉnh Lào Cai; điện thoại: 02163.857.863.</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4. Tên dự án đầu tư: Dự án đầu tư xây dựng kết cấu hạ tầng kỹ thuật Cụm công nghiệp Y Can, tại xã Quy Mông, tỉnh Lào Cai; chủ dự án: Công ty Cổ phần luyện kim hóa chất Tây Bắc.</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b/>
          <w:kern w:val="0"/>
          <w:sz w:val="28"/>
          <w:szCs w:val="26"/>
        </w:rPr>
        <w:t>5. Nhận xét về nội dung báo cáo đề xuất cấp giấy phép môi trường của dự án đầu tư:</w:t>
      </w:r>
    </w:p>
    <w:tbl>
      <w:tblPr>
        <w:tblW w:w="9072" w:type="dxa"/>
        <w:jc w:val="center"/>
        <w:tblLayout w:type="fixed"/>
        <w:tblCellMar>
          <w:top w:w="45" w:type="dxa"/>
          <w:left w:w="0" w:type="dxa"/>
          <w:bottom w:w="45" w:type="dxa"/>
          <w:right w:w="0" w:type="dxa"/>
        </w:tblCellMar>
        <w:tblLook w:val="04A0" w:firstRow="1" w:lastRow="0" w:firstColumn="1" w:lastColumn="0" w:noHBand="0" w:noVBand="1"/>
      </w:tblPr>
      <w:tblGrid>
        <w:gridCol w:w="760"/>
        <w:gridCol w:w="2600"/>
        <w:gridCol w:w="1470"/>
        <w:gridCol w:w="4242"/>
      </w:tblGrid>
      <w:tr w:rsidR="007347CE">
        <w:trPr>
          <w:tblHeader/>
          <w:jc w:val="center"/>
        </w:trPr>
        <w:tc>
          <w:tcPr>
            <w:tcW w:w="7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b/>
                <w:bCs/>
                <w:kern w:val="0"/>
                <w:sz w:val="26"/>
                <w:szCs w:val="26"/>
              </w:rPr>
              <w:t>STT</w:t>
            </w:r>
          </w:p>
        </w:tc>
        <w:tc>
          <w:tcPr>
            <w:tcW w:w="2600" w:type="dxa"/>
            <w:tcBorders>
              <w:top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b/>
                <w:bCs/>
                <w:kern w:val="0"/>
                <w:sz w:val="26"/>
                <w:szCs w:val="26"/>
              </w:rPr>
              <w:t>Nội dung thẩm định</w:t>
            </w:r>
          </w:p>
        </w:tc>
        <w:tc>
          <w:tcPr>
            <w:tcW w:w="1470" w:type="dxa"/>
            <w:tcBorders>
              <w:top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sidRPr="00253CD1">
              <w:rPr>
                <w:rFonts w:ascii="Times New Roman" w:eastAsia="Times New Roman" w:hAnsi="Times New Roman"/>
                <w:b/>
                <w:bCs/>
                <w:kern w:val="0"/>
                <w:sz w:val="18"/>
                <w:szCs w:val="26"/>
              </w:rPr>
              <w:t>Đánh giá từng nội dung (Chọn 1 trong 3 mức đánh giá): (1) Đạt yêu cầu; (2) Cần hoàn thiện; (3)</w:t>
            </w:r>
            <w:r w:rsidRPr="00253CD1">
              <w:rPr>
                <w:rFonts w:ascii="Times New Roman" w:eastAsia="Times New Roman" w:hAnsi="Times New Roman"/>
                <w:b/>
                <w:kern w:val="0"/>
                <w:sz w:val="18"/>
                <w:szCs w:val="26"/>
              </w:rPr>
              <w:t> </w:t>
            </w:r>
            <w:r w:rsidRPr="00253CD1">
              <w:rPr>
                <w:rFonts w:ascii="Times New Roman" w:eastAsia="Times New Roman" w:hAnsi="Times New Roman"/>
                <w:b/>
                <w:bCs/>
                <w:kern w:val="0"/>
                <w:sz w:val="18"/>
                <w:szCs w:val="26"/>
              </w:rPr>
              <w:t>Không đạt yêu cầu</w:t>
            </w:r>
          </w:p>
        </w:tc>
        <w:tc>
          <w:tcPr>
            <w:tcW w:w="4242" w:type="dxa"/>
            <w:tcBorders>
              <w:top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b/>
                <w:bCs/>
                <w:kern w:val="0"/>
                <w:sz w:val="26"/>
                <w:szCs w:val="26"/>
              </w:rPr>
              <w:t>Nêu</w:t>
            </w:r>
            <w:r>
              <w:rPr>
                <w:rFonts w:ascii="Times New Roman" w:eastAsia="Times New Roman" w:hAnsi="Times New Roman"/>
                <w:b/>
                <w:kern w:val="0"/>
                <w:sz w:val="26"/>
                <w:szCs w:val="26"/>
              </w:rPr>
              <w:t> </w:t>
            </w:r>
            <w:r>
              <w:rPr>
                <w:rFonts w:ascii="Times New Roman" w:eastAsia="Times New Roman" w:hAnsi="Times New Roman"/>
                <w:b/>
                <w:bCs/>
                <w:kern w:val="0"/>
                <w:sz w:val="26"/>
                <w:szCs w:val="26"/>
              </w:rPr>
              <w:t>rõ</w:t>
            </w:r>
            <w:r>
              <w:rPr>
                <w:rFonts w:ascii="Times New Roman" w:eastAsia="Times New Roman" w:hAnsi="Times New Roman"/>
                <w:b/>
                <w:kern w:val="0"/>
                <w:sz w:val="26"/>
                <w:szCs w:val="26"/>
              </w:rPr>
              <w:t> </w:t>
            </w:r>
            <w:r>
              <w:rPr>
                <w:rFonts w:ascii="Times New Roman" w:eastAsia="Times New Roman" w:hAnsi="Times New Roman"/>
                <w:b/>
                <w:bCs/>
                <w:kern w:val="0"/>
                <w:sz w:val="26"/>
                <w:szCs w:val="26"/>
              </w:rPr>
              <w:t>lý</w:t>
            </w:r>
            <w:r>
              <w:rPr>
                <w:rFonts w:ascii="Times New Roman" w:eastAsia="Times New Roman" w:hAnsi="Times New Roman"/>
                <w:b/>
                <w:kern w:val="0"/>
                <w:sz w:val="26"/>
                <w:szCs w:val="26"/>
              </w:rPr>
              <w:t> </w:t>
            </w:r>
            <w:r>
              <w:rPr>
                <w:rFonts w:ascii="Times New Roman" w:eastAsia="Times New Roman" w:hAnsi="Times New Roman"/>
                <w:b/>
                <w:bCs/>
                <w:kern w:val="0"/>
                <w:sz w:val="26"/>
                <w:szCs w:val="26"/>
              </w:rPr>
              <w:t>do</w:t>
            </w:r>
            <w:r>
              <w:rPr>
                <w:rFonts w:ascii="Times New Roman" w:eastAsia="Times New Roman" w:hAnsi="Times New Roman"/>
                <w:b/>
                <w:kern w:val="0"/>
                <w:sz w:val="26"/>
                <w:szCs w:val="26"/>
              </w:rPr>
              <w:t> </w:t>
            </w:r>
            <w:r>
              <w:rPr>
                <w:rFonts w:ascii="Times New Roman" w:eastAsia="Times New Roman" w:hAnsi="Times New Roman"/>
                <w:b/>
                <w:bCs/>
                <w:kern w:val="0"/>
                <w:sz w:val="26"/>
                <w:szCs w:val="26"/>
              </w:rPr>
              <w:t>trong</w:t>
            </w:r>
            <w:r>
              <w:rPr>
                <w:rFonts w:ascii="Times New Roman" w:eastAsia="Times New Roman" w:hAnsi="Times New Roman"/>
                <w:b/>
                <w:kern w:val="0"/>
                <w:sz w:val="26"/>
                <w:szCs w:val="26"/>
              </w:rPr>
              <w:t> </w:t>
            </w:r>
            <w:r>
              <w:rPr>
                <w:rFonts w:ascii="Times New Roman" w:eastAsia="Times New Roman" w:hAnsi="Times New Roman"/>
                <w:b/>
                <w:bCs/>
                <w:kern w:val="0"/>
                <w:sz w:val="26"/>
                <w:szCs w:val="26"/>
              </w:rPr>
              <w:t>trường hợp đánh giá mức (2) hoặc (3)</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Sự phù hợp của dự án đầu tư với quy hoạch bảo vệ môi trường, quy hoạch tỉnh, phân vùng môi trường, khả năng chịu tải của môi trường theo quyết định của cơ quan nhà nước có thẩm quyền/khu sản xuất, kinh doanh, dịch vụ tập trung, cụm công nghiệp</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Đã đối chiếu Quy hoạch bảo vệ môi trường quốc gia, quy hoạch vùng, Quy hoạch tỉnh (Quyết định số 525/QĐ-UBND ngày 25/02/2026, Phụ lục III mục I-I.1, số thứ tự 8) và xác định dự án thuộc vùng bảo vệ môi trường khác. Tuy nhiên chưa đánh giá khả năng chịu tải của môi trường tiếp nhận; chưa viện dẫn căn cứ phân vùng xả thải làm cơ sở lựa chọn cột áp dụng của quy chuẩn; Quyết định số 949/QĐ-UBND ngày 06/5/2025 được viện dẫn nhưng không ghi trích yếu; chưa viện dẫn Nghị quyết số 66.19/2026/NQ-CP ngày 18/5/2026 của Chính phủ.</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2</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Kết quả tổng hợp số liệu về hiện trạng môi trường khu vực thực hiện dự án</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Chỉ có 01 đợt đo đạc, lấy mẫu ngày 17/11/2025, không có số liệu mùa kiệt, đến nay đã quá 08 tháng; thiếu số liệu lưu lượng dòng chảy Ngòi Gạo.</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3</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 xml:space="preserve">Sự phù hợp của địa </w:t>
            </w:r>
            <w:r>
              <w:rPr>
                <w:rFonts w:ascii="Times New Roman" w:eastAsia="Times New Roman" w:hAnsi="Times New Roman"/>
                <w:kern w:val="0"/>
                <w:sz w:val="26"/>
                <w:szCs w:val="26"/>
              </w:rPr>
              <w:lastRenderedPageBreak/>
              <w:t>điểm lựa chọn thực hiện dự án</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lastRenderedPageBreak/>
              <w:t xml:space="preserve">Cần hoàn </w:t>
            </w:r>
            <w:r>
              <w:rPr>
                <w:rFonts w:ascii="Times New Roman" w:hAnsi="Times New Roman"/>
                <w:sz w:val="26"/>
              </w:rPr>
              <w:lastRenderedPageBreak/>
              <w:t>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lastRenderedPageBreak/>
              <w:t xml:space="preserve">Chưa chứng minh được khoảng cách an </w:t>
            </w:r>
            <w:r>
              <w:rPr>
                <w:rFonts w:ascii="Times New Roman" w:hAnsi="Times New Roman"/>
                <w:sz w:val="26"/>
              </w:rPr>
              <w:lastRenderedPageBreak/>
              <w:t>toàn về môi trường. Trường Tiểu học và Trung học cơ sở số 2 Y Can, điểm trường mầm non Hồng Tiến cách 100 m; khu dân cư 150 m; khu tái định cư số 1 cách 130 m, nhưng báo cáo lại khẳng định bảo đảm tối thiểu 200 m. Chưa có luận chứng theo QCVN 01:2021/BXD tương ứng với nhóm ngành nghề thu hút đầu tư.</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lastRenderedPageBreak/>
              <w:t>4</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Việc đánh giá và dự báo về nguồn thải của dự án; tác động của chất thải và các tác động khác của dự án đến môi trường; đánh giá, dự báo các sự cố môi trường do chất thải gây ra</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Nhận xét chi tiết tại các mục 4.1 và 4.2 dưới đây.</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4.1</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Việc đánh giá và dự báo về nguồn thải của dự án; quy mô, tính chất của nước thải, khí thải, chất thải rắn thông thường, chất thải nguy hại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Nguồn thải giai đoạn vận hành mới được quy đổi từ chỉ tiêu cấp nước quy hoạch, chưa phân tích theo loại hình sản xuất sẽ tiếp nhận.</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4.1.1</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Nước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Tổng lượng nước thải 940,1 m³/ngày đêm tính chưa đúng: ghi chú đã áp dụng hệ số K = 1,2 nhưng thực tế chưa áp dụng; nếu áp dụng thì khoảng 1.128 m³/ngày đêm, vượt công suất trạm 1.000 m³/ngày đêm. Nước thải công nghiệp (847,5 m³/ngày đêm, chiếm khoảng 90%) suy ra từ định mức 20 m³/ha, chưa phù hợp với các ngành sử dụng nhiều nước như sản xuất giấy, ván MDF, chế biến nông lâm sản.</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4.1.2</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Khí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Mới đề cập khí thải phương tiện giao thông và mùi từ trạm xử lý nước thải tập trung; chưa nêu lưu lượng hệ thống xử lý mùi, chưa có cơ sở để kết luận không thuộc đối tượng cấp phép khí thải.</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4.1.3</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Chất thải rắn thông thường</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Chưa dự báo khối lượng chất thải rắn công nghiệp thông thường theo cơ cấu ngành nghề.</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4.1.4</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Chất thải nguy hại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Đã nêu thành phần, mã chất thải nguy hại nhưng chưa dự báo khối lượng giai đoạn vận hành của chủ đầu tư hạ tầng.</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4.2</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spacing w:val="-6"/>
                <w:kern w:val="0"/>
                <w:sz w:val="26"/>
                <w:szCs w:val="26"/>
              </w:rPr>
            </w:pPr>
            <w:r>
              <w:rPr>
                <w:rFonts w:ascii="Times New Roman" w:eastAsia="Times New Roman" w:hAnsi="Times New Roman"/>
                <w:spacing w:val="-6"/>
                <w:kern w:val="0"/>
                <w:sz w:val="26"/>
                <w:szCs w:val="26"/>
              </w:rPr>
              <w:t>Đánh giá, dự báo các sự cố môi trường do chất thải gây ra</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Đã nhận diện các sự cố (tràn, vỡ đường ống, sự cố trạm xử lý) nhưng bể sự cố mâu thuẫn về kích thước và thể tích (30 m x 12,3 m x 4,0 m nhưng ghi 1.000 m³); dung tích 1.000 m³ chỉ tương đương 01 ngày xả, chưa đủ luận chứng cho tình huống sự cố kéo dài.</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5</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Đánh giá và dự báo về tác động đến chế độ thủy văn của môi trường tiếp nhận nước thải, khả năng tiếp nhận nước thải của nguồn nước (hoặc nguồn nước công trình thủy lợi)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đạt yêu cầu</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Không có nội dung đánh giá khả năng tiếp nhận nước thải của nguồn nước. Báo cáo chỉ trình bày kết quả 02 mẫu nước mặt lấy cùng thời điểm và kết luận nằm trong giới hạn cho phép; không có số liệu lưu lượng dòng chảy Ngòi Gạo, không tính tải lượng ô nhiễm tối đa và khả năng tiếp nhận, trong khi lưu lượng xả đề nghị cấp phép là 1.000 m³/ngày đêm liên tục 24/24 giờ.</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6</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spacing w:val="-6"/>
                <w:kern w:val="0"/>
                <w:sz w:val="26"/>
                <w:szCs w:val="26"/>
              </w:rPr>
              <w:t>Đánh giá và dự báo về tác động tới lòng, bờ, bãi sông, dòng chảy (đối với dự án khai thác cát, sỏi và khoáng sản trên sông, suối, kênh, rạch, hồ chứa và vùng cửa sông, ven biển)</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Dự án không thuộc loại hình khai thác cát, sỏi trên sông, hồ chứa, vùng cửa sông, ven biển.</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7</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Sự phù hợp của các giải pháp bảo vệ môi trường</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Nhận xét chi tiết tại các mục 7.1 đến 7.7 dưới đây.</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7.1</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Phương án thu gom, quản lý chất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Đề nghị bổ sung quy mô khu lưu giữ, khu trung chuyển chất thải rắn của cụm công nghiệp và trách nhiệm của nhà đầu tư thứ cấp.</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7.2</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Biện pháp, công nghệ xử lý nước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Công nghệ hóa lý kết hợp sinh học thiếu khí - hiếu khí, khử trùng. Chưa có tính toán hiệu suất theo từng thông số; dây chuyền không có công đoạn chuyên xử lý florua (15 mg/l xuống 3 mg/l), tổng phenol (3,0 xuống 0,1 mg/l), tổng xianua (1,0 xuống 0,2 mg/l), không có bậc lọc nâng cao. Kim loại nặng đầu vào đã lấy bằng giá trị Cột A, tức mặc định do nhà đầu tư thứ cấp xử lý, nhưng chưa có cơ chế kiểm soát đấu nối tương ứng.</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7.3</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Biện pháp, công nghệ xử lý bụi, khí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Chưa nêu lưu lượng và hiệu quả của hệ thống xử lý mùi trạm xử lý nước thải tập trung; chưa nêu yêu cầu đối với hệ thống xử lý bụi, khí thải của nhà đầu tư thứ cấp.</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7.4</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Phương án quản lý chất thải nguy hại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Cần bổ sung công trình lưu giữ chất thải nguy hại giai đoạn vận hành đáp ứng yêu cầu kỹ thuật.</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7.5</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Phương án quản lý chất thải rắn thông thường</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Cần bổ sung phương án phân loại tại nguồn và định hướng tái sử dụng, tuần hoàn chất thải rắn công nghiệp thông thường.</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7.6</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Các biện pháp khác nhằm giảm thiểu tác động đến môi trường tiếp nhận nước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Cần bổ sung: quy trình tạm ngừng tiếp nhận nước thải khi trạm gặp sự cố; hố ga đấu nối riêng cho từng cơ sở phục vụ kiểm tra, lấy mẫu; quy chế bảo vệ môi trường và hợp đồng đấu nối quy định rõ ngưỡng, trách nhiệm và chế tài.</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7.7</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Các công trình, biện pháp phòng ngừa, ứng phó sự cố môi trường do chất thải gây ra</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Chưa có kế hoạch phòng ngừa, ứng phó sự cố môi trường của cụm công nghiệp gắn với ngành nghề thu hút đầu tư, trong đó có sản xuất hóa chất.</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8</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Phương án cải tạo, phục hồi môi trường, bồi hoàn đa dạng sinh học (nếu có)</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Đạt yêu cầu</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Dự án không thuộc đối tượng phải lập phương án cải tạo, phục hồi môi trường, phương án bồi hoàn đa dạng sinh học; báo cáo xác định như vậy là phù hợp.</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9</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Khối lượng chất thải nguy hại, chất thải công nghiệp phải kiểm soát</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Chưa xác định khối lượng chất thải nguy hại phát sinh trong giai đoạn vận hành của chủ đầu tư hạ tầng, như đã nêu tại mục 4.1.4.</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10</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Khối lượng chất thải rắn thông thường (chất thải rắn công nghiệp thông thường, chất thải rắn sinh hoạt,…)</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Chưa xác định khối lượng chất thải rắn công nghiệp thông thường, chất thải rắn sinh hoạt phát sinh trong giai đoạn vận hành của chủ đầu tư hạ tầng (mục 4.1.3).</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11</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Nội dung đề nghị cấp phép môi trường</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Nhận xét chi tiết tại các mục 11.1 đến 11.3 dưới đây.</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11.1</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Nước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Lưu lượng xả tối đa 1.000 m³/ngày đêm lấy theo công suất thiết kế, chưa khớp với tính toán 940,1 m³/ngày đêm và chưa tính đúng hệ số không điều hòa. Căn cứ lựa chọn Cột A QCVN 40:2025/BTNMT chưa được viện dẫn và mâu thuẫn với đánh giá nguồn tiếp nhận theo Mức B QCVN 08:2023/BTNMT tại Chương II. Vị trí xả (X = 2404776; Y = 508560) nằm ngoài ranh giới dự án, chưa nêu cơ sở pháp lý về đất và hành lang cho tuyến ống HDPE D400, cống D2000. Điểm xả nước mưa số 2 chưa xác định rõ nguồn tiếp nhận.</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11.2</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Khí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Không đề nghị cấp phép đối với khí thải nhưng chưa nêu rõ căn cứ, trong khi dự án có hệ thống xử lý mùi của trạm xử lý nước thải tập trung.</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11.3</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Tiếng ồn, độ rung</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Đề nghị viện dẫn đầy đủ ký hiệu, thông tư ban hành và thời điểm hiệu lực của quy chuẩn kỹ thuật về tiếng ồn, độ rung được áp dụng.</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11.4</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Công trình, thiết bị xử lý chất thải nguy hại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Dự án không thực hiện dịch vụ xử lý chất thải nguy hại.</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11.5</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Mã chất thải nguy hại và khối lượng được phép xử lý</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7347CE" w:rsidP="00F63160">
            <w:pPr>
              <w:spacing w:after="40" w:line="240" w:lineRule="auto"/>
              <w:jc w:val="both"/>
              <w:rPr>
                <w:rFonts w:ascii="Times New Roman" w:eastAsia="Times New Roman" w:hAnsi="Times New Roman"/>
                <w:kern w:val="0"/>
                <w:sz w:val="26"/>
                <w:szCs w:val="26"/>
              </w:rPr>
            </w:pP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11.6</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Số lượng Trạm trung chuyển chất thải nguy hại; địa bàn hoạt động</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7347CE" w:rsidP="00F63160">
            <w:pPr>
              <w:spacing w:after="40" w:line="240" w:lineRule="auto"/>
              <w:jc w:val="both"/>
              <w:rPr>
                <w:rFonts w:ascii="Times New Roman" w:eastAsia="Times New Roman" w:hAnsi="Times New Roman"/>
                <w:kern w:val="0"/>
                <w:sz w:val="26"/>
                <w:szCs w:val="26"/>
              </w:rPr>
            </w:pP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11.7</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Loại, khối lượng phế liệu đề nghị nhập khẩu làm nguyên liệu sản xuất</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Dự án không nhập khẩu phế liệu làm nguyên liệu sản xuất.</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12</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Sự phù hợp của kế hoạch vận hành thử nghiệm công trình xử lý chất thải và chương trình giám sát môi trường; tiêu chuẩn, quy chuẩn kỹ thuật môi trường áp dụng</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Nhận xét chi tiết tại các mục 12.1 đến 12.3 dưới đây.</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12.1</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Đối với nước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Thời điểm bắt đầu vận hành thử nghiệm phụ thuộc điều kiện lưu lượng nước thải đạt 50% công suất thiết kế, cần bổ sung cơ chế bảo đảm khả thi gắn với tiến độ tiếp nhận nhà đầu tư thứ cấp. Thông số quan trắc tự động, liên tục mới có lưu lượng, nhiệt độ, pH, TSS, COD, amoni, cần bổ sung thông số đặc trưng theo cơ cấu ngành nghề, bổ sung camera giám sát, thiết bị lấy mẫu tự động và phương án truyền số liệu. Kinh phí quan trắc hằng năm mâu thuẫn giữa Chương VII (60 triệu đồng) và Bảng 4.40 (250 triệu đồng và 150 triệu đồng).</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12.2</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Đối với khí thải</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Theo đề nghị của chủ dự án; xem lại sau khi làm rõ nội dung tại mục 11.2.</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12.3</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Giám sát khác</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Chưa có chương trình giám sát chất lượng nước mặt Ngòi Gạo tại thượng lưu và hạ lưu điểm xả, chưa có giám sát bùn thải phát sinh từ trạm xử lý nước thải tập trung.</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13</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Sự phù hợp về nội dung đề nghị xác nhận dự án đầu tư thuộc danh mục phân loại xanh (đối với trường hợp xác nhận dự án đầu tư thuộc danh mục phân loại xanh theo quy định tại Quyết định số </w:t>
            </w:r>
            <w:hyperlink r:id="rId5" w:tgtFrame="_blank">
              <w:bookmarkStart w:id="0" w:name="tvpllink_lyluxkdmro_22"/>
              <w:r w:rsidRPr="004776D9">
                <w:t>21/2025/QĐ-TTg</w:t>
              </w:r>
            </w:hyperlink>
            <w:bookmarkEnd w:id="0"/>
            <w:r w:rsidRPr="004776D9">
              <w:rPr>
                <w:rFonts w:ascii="Times New Roman" w:eastAsia="Times New Roman" w:hAnsi="Times New Roman"/>
                <w:kern w:val="0"/>
                <w:sz w:val="26"/>
                <w:szCs w:val="26"/>
              </w:rPr>
              <w:t>)</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Chủ dự án không đề nghị xác nhận dự án đầu tư thuộc danh mục phân loại xanh.</w:t>
            </w: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13.1</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Tiêu chí mô</w:t>
            </w:r>
            <w:bookmarkStart w:id="1" w:name="_GoBack"/>
            <w:bookmarkEnd w:id="1"/>
            <w:r>
              <w:rPr>
                <w:rFonts w:ascii="Times New Roman" w:eastAsia="Times New Roman" w:hAnsi="Times New Roman"/>
                <w:kern w:val="0"/>
                <w:sz w:val="26"/>
                <w:szCs w:val="26"/>
              </w:rPr>
              <w:t>i trường đối với dự án đầu tư thuộc danh mục phân loại xanh</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7347CE" w:rsidP="00F63160">
            <w:pPr>
              <w:spacing w:after="40" w:line="240" w:lineRule="auto"/>
              <w:jc w:val="both"/>
              <w:rPr>
                <w:rFonts w:ascii="Times New Roman" w:eastAsia="Times New Roman" w:hAnsi="Times New Roman"/>
                <w:kern w:val="0"/>
                <w:sz w:val="26"/>
                <w:szCs w:val="26"/>
              </w:rPr>
            </w:pP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13.2</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Nội dung đề nghị xác nhận dự án đầu tư thuộc danh mục phân loại xanh</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Không áp dụng</w:t>
            </w:r>
          </w:p>
        </w:tc>
        <w:tc>
          <w:tcPr>
            <w:tcW w:w="4242" w:type="dxa"/>
            <w:tcBorders>
              <w:bottom w:val="single" w:sz="8" w:space="0" w:color="000000"/>
              <w:right w:val="single" w:sz="8" w:space="0" w:color="000000"/>
            </w:tcBorders>
            <w:shd w:val="clear" w:color="auto" w:fill="FFFFFF"/>
            <w:vAlign w:val="center"/>
          </w:tcPr>
          <w:p w:rsidR="007347CE" w:rsidRDefault="007347CE" w:rsidP="00F63160">
            <w:pPr>
              <w:spacing w:after="40" w:line="240" w:lineRule="auto"/>
              <w:jc w:val="both"/>
              <w:rPr>
                <w:rFonts w:ascii="Times New Roman" w:eastAsia="Times New Roman" w:hAnsi="Times New Roman"/>
                <w:kern w:val="0"/>
                <w:sz w:val="26"/>
                <w:szCs w:val="26"/>
              </w:rPr>
            </w:pPr>
          </w:p>
        </w:tc>
      </w:tr>
      <w:tr w:rsidR="007347CE">
        <w:trPr>
          <w:jc w:val="center"/>
        </w:trPr>
        <w:tc>
          <w:tcPr>
            <w:tcW w:w="760" w:type="dxa"/>
            <w:tcBorders>
              <w:left w:val="single" w:sz="8" w:space="0" w:color="000000"/>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eastAsia="Times New Roman" w:hAnsi="Times New Roman"/>
                <w:kern w:val="0"/>
                <w:sz w:val="26"/>
                <w:szCs w:val="26"/>
              </w:rPr>
              <w:t>14</w:t>
            </w:r>
          </w:p>
        </w:tc>
        <w:tc>
          <w:tcPr>
            <w:tcW w:w="260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eastAsia="Times New Roman" w:hAnsi="Times New Roman"/>
                <w:kern w:val="0"/>
                <w:sz w:val="26"/>
                <w:szCs w:val="26"/>
              </w:rPr>
              <w:t>Các cam kết của chủ dự án</w:t>
            </w:r>
          </w:p>
        </w:tc>
        <w:tc>
          <w:tcPr>
            <w:tcW w:w="1470"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center"/>
              <w:rPr>
                <w:rFonts w:ascii="Times New Roman" w:eastAsia="Times New Roman" w:hAnsi="Times New Roman"/>
                <w:kern w:val="0"/>
                <w:sz w:val="26"/>
                <w:szCs w:val="26"/>
              </w:rPr>
            </w:pPr>
            <w:r>
              <w:rPr>
                <w:rFonts w:ascii="Times New Roman" w:hAnsi="Times New Roman"/>
                <w:sz w:val="26"/>
              </w:rPr>
              <w:t>Cần hoàn thiện</w:t>
            </w:r>
          </w:p>
        </w:tc>
        <w:tc>
          <w:tcPr>
            <w:tcW w:w="4242" w:type="dxa"/>
            <w:tcBorders>
              <w:bottom w:val="single" w:sz="8" w:space="0" w:color="000000"/>
              <w:right w:val="single" w:sz="8" w:space="0" w:color="000000"/>
            </w:tcBorders>
            <w:shd w:val="clear" w:color="auto" w:fill="FFFFFF"/>
            <w:vAlign w:val="center"/>
          </w:tcPr>
          <w:p w:rsidR="007347CE" w:rsidRDefault="00F63160" w:rsidP="00F63160">
            <w:pPr>
              <w:spacing w:after="40" w:line="240" w:lineRule="auto"/>
              <w:jc w:val="both"/>
              <w:rPr>
                <w:rFonts w:ascii="Times New Roman" w:eastAsia="Times New Roman" w:hAnsi="Times New Roman"/>
                <w:kern w:val="0"/>
                <w:sz w:val="26"/>
                <w:szCs w:val="26"/>
              </w:rPr>
            </w:pPr>
            <w:r>
              <w:rPr>
                <w:rFonts w:ascii="Times New Roman" w:hAnsi="Times New Roman"/>
                <w:sz w:val="26"/>
              </w:rPr>
              <w:t>Các cam kết còn chung. Đề nghị bổ sung cam kết đặc thù của chủ đầu tư hạ tầng cụm công nghiệp: hoàn thành hệ thống thu gom, thoát nước và trạm xử lý nước thải tập trung trước khi tiếp nhận dự án thứ cấp có phát sinh nước thải; chỉ tiếp nhận ngành nghề đúng quyết định thành lập cụm công nghiệp; kiểm soát ngưỡng đấu nối, đặc biệt là kim loại nặng; bố trí nhân sự phụ trách bảo vệ môi trường; ban hành quy chế bảo vệ môi trường cụm công nghiệp theo quy định.</w:t>
            </w:r>
          </w:p>
        </w:tc>
      </w:tr>
    </w:tbl>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b/>
          <w:kern w:val="0"/>
          <w:sz w:val="28"/>
          <w:szCs w:val="26"/>
        </w:rPr>
        <w:t>6. Nhận xét về hình thức của báo cáo đề xuất cấp giấy phép môi trường:</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Báo cáo được trình bày đủ 08 chương, theo mẫu báo cáo đề xuất cấp giấy phép môi trường của dự án đầu tư không thuộc đối tượng phải thực hiện đánh giá tác động môi trường (ĐTM). Việc lựa chọn mẫu như trên là phù hợp, vì theo Mục VI Phần A Phụ lục IX Nghị quyết số 66.19/2026/NQ-CP ngày 18/5/2026 của Chính phủ, dự án đầu tư xây dựng và kinh doanh kết cấu hạ tầng cụm công nghiệp được loại trừ khỏi đối tượng phải thực hiện ĐTM theo tiêu chí quy mô sử dụng đất; đồng thời theo Mục VII Phần A Phụ lục IX, cụm công nghiệp phát sinh nước thải từ 100 m³/ngày trở lên thuộc đối tượng phải có giấy phép môi trường. Tuy nhiên, tại phần căn cứ pháp lý và tại mục 2.5 Chương I, báo cáo chỉ viện dẫn Nghị định số 48/2026/NĐ-CP, không viện dẫn Nghị quyết số 66.19/2026/NQ-CP nêu trên.</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Đề nghị làm rõ 02 điều kiện có thể làm thay đổi kết luận nêu trên: một là dự án có chiếm dụng rừng tự nhiên hoặc rừng phòng hộ từ 0,2 ha trở lên hay không (Bảng 1.3 thống kê 364.250,5 m², tương đương 36,4 ha đất rừng sản xuất của 89 hộ gia đình, cá nhân và Bảng 4.40 có khoản nộp Quỹ bảo vệ và phát triển rừng 5.755.157.900 đồng, nhưng báo cáo không xác định loại rừng); hai là trạm xử lý nước thải tập trung của dự án là công trình riêng hay dùng chung với khu, cụm công nghiệp khác. Nếu thuộc một trong hai trường hợp này thì dự án vẫn thuộc đối tượng phải thực hiện ĐTM.</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Chương II có tiêu đề về khả năng chịu tải của môi trường nhưng không có nội dung đánh giá tương ứng, chỉ trình bày kết quả 02 mẫu nước mặt. Chương III chỉ có 01 đợt đo đạc, lấy mẫu ngày 17/11/2025, không có số liệu mùa kiệt. Chương V xác định dự án không thuộc đối tượng lập phương án cải tạo, phục hồi môi trường, phương án bồi hoàn đa dạng sinh học là phù hợp.</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Một số viện dẫn ảnh hưởng đến giá trị pháp lý của hồ sơ cần được chuẩn hóa: đơn vị quan trắc được viện dẫn theo "Quyết định số 11/GCN-BTNMT ngày 23/4/2025 của Bộ Tài nguyên và Môi trường" là không đúng hình thức văn bản và không đúng tên cơ quan ban hành (từ ngày 01/3/2025 là Bộ Nông nghiệp và Môi trường), đề nghị cung cấp giấy chứng nhận đủ điều kiện hoạt động dịch vụ quan trắc môi trường còn hiệu lực; Quyết định số 949/QĐ-UBND ngày 06/5/2025 được viện dẫn làm căn cứ ngành nghề thu hút đầu tư nhưng không ghi trích yếu.</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b/>
          <w:kern w:val="0"/>
          <w:sz w:val="28"/>
          <w:szCs w:val="26"/>
        </w:rPr>
        <w:t>7. Những nhận xét khác</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b/>
          <w:kern w:val="0"/>
          <w:sz w:val="28"/>
          <w:szCs w:val="26"/>
        </w:rPr>
        <w:t>7.1. Về thông tin, số liệu làm cơ sở để lập báo cáo đề xuất cấp giấy phép môi trường:</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Lưu lượng nước thải tính chưa đúng: Bảng 4.23 ghi chú "đã áp dụng hệ số không điều hòa K = 1,2" nhưng kiểm tra từng dòng cho thấy chưa áp dụng (52,97 ha x 20 m³/ha x 80% = 847,5 m³/ngày đêm; 3.750 người x 25 lít x 80% = 75,0 m³/ngày đêm). Nếu áp dụng đúng K = 1,2 thì lưu lượng khoảng 1.128 m³/ngày đêm, vượt công suất thiết kế 1.000 m³/ngày đêm của trạm xử lý nước thải tập trung và vượt lưu lượng xả tối đa đề nghị cấp phép.</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Nước thải công nghiệp (847,5 m³/ngày đêm, chiếm khoảng 90% tổng lượng) được suy ra từ chỉ tiêu cấp nước quy hoạch 20 m³/ha, không gắn với danh mục ngành nghề thu hút đầu tư gồm sản xuất giấy, ván MDF, chế biến nông lâm sản, sản xuất hóa chất thông thường là những ngành có nhu cầu nước và tải lượng ô nhiễm rất khác nhau.</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Thiếu số liệu nền có tính quyết định: không có lưu lượng dòng chảy của Ngòi Gạo, đặc biệt lưu lượng mùa kiệt; không có vị trí, khoảng cách công trình khai thác nước thô của Nhà máy nước sạch xã Quy Mông so với vị trí xả nước thải.</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Số liệu hiện trạng môi trường chỉ có 01 đợt đo đạc, lấy mẫu ngày 17/11/2025, đến thời điểm thẩm định đã quá 08 tháng, chưa bảo đảm tính đại diện.</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Bể sự cố mâu thuẫn số liệu: Bảng 4.37 ghi kích thước 30 m x 12,3 m x 4,0 m nhưng ghi thể tích chứa nước 1.000 m³; Bảng 4.40 cũng ghi 1.000 m³.</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Chức năng công trình chưa thống nhất: Bảng 1.5 ghi "đất xây dựng nhà ở lưu trú (nhà ở công nhân)", trong khi Bảng 1.9, Bảng 4.23 và Chương VI gọi là "khu nhà chung cư" với 250 người gồm 63 lao động và 187 người thân. Đây là hai khái niệm pháp lý khác nhau, cần rà soát cả về quy hoạch cụm công nghiệp và về pháp luật nhà ở.</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b/>
          <w:kern w:val="0"/>
          <w:sz w:val="28"/>
          <w:szCs w:val="26"/>
        </w:rPr>
        <w:t>7.2. Về mức độ thỏa đáng của các đánh giá, kết luận nêu trong báo cáo:</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Kết luận về khả năng chịu tải của môi trường tiếp nhận chưa có cơ sở. Báo cáo chỉ căn cứ kết quả 02 mẫu nước mặt lấy cùng một thời điểm rồi kết luận nguồn tiếp nhận nằm trong giới hạn cho phép, chưa tính tải lượng ô nhiễm tối đa và khả năng tiếp nhận nước thải của Ngòi Gạo, trong khi lưu lượng xả đề nghị cấp phép là 1.000 m³/ngày đêm, liên tục 24/24 giờ, vào một khe suối được chính báo cáo mô tả là "lưu lượng không lớn", có điểm hợp lưu với sông Hồng chỉ cách khoảng 250 m.</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Không thống nhất về phân vùng xả thải: Chương II đánh giá nguồn tiếp nhận theo QCVN 08:2023/BTNMT Mức B, trong khi Chương VI đề nghị áp dụng Cột A QCVN 40:2025/BTNMT và giải thích Cột A áp dụng cho nguồn tiếp nhận có chức năng cấp nước cho mục đích sinh hoạt. Hai kết luận này phủ định lẫn nhau. Nếu nguồn tiếp nhận thực sự có chức năng cấp nước sinh hoạt thì còn phát sinh yếu tố nhạy cảm về môi trường, phải rà soát lại việc phân nhóm dự án.</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Kết luận về khoảng cách an toàn về môi trường chưa thỏa đáng. Báo cáo nêu Trường Tiểu học và Trung học cơ sở số 2 Y Can, điểm trường mầm non Hồng Tiến cách dự án 100 m; khu dân cư gần nhất 150 m; khu tái định cư số 1 cách 130 m, nhưng ngay sau đó lại khẳng định khoảng cách tối thiểu từ khu vực sản xuất đến khu dân cư gần nhất bảo đảm 200 m và kết luận đáp ứng QCVN 01:2021/BXD mà không có luận chứng.</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Kết luận về công nghệ xử lý nước thải chưa được chứng minh. Bảng 4.35 lấy nguyên giá trị Cột B làm đặc trưng nước thải đầu vào, Bảng 4.36 cam kết đầu ra Cột A, tức trạm phải xử lý florua từ 15 mg/l xuống 3 mg/l, tổng phenol từ 3,0 mg/l xuống 0,1 mg/l, tổng xianua từ 1,0 mg/l xuống 0,2 mg/l, tổng dầu mỡ khoáng từ 5 mg/l xuống 1 mg/l. Dây chuyền hóa lý (điều chỉnh pH, PAC, polymer, lắng) kết hợp sinh học thiếu khí - hiếu khí và khử trùng không có công đoạn chuyên xử lý các thông số này và không có bậc lọc nâng cao.</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Về kim loại nặng: đối chiếu Bảng 4.35 với Bảng 4.36 cho thấy toàn bộ thông số kim loại nặng đầu vào đã bằng đúng giá trị Cột A đầu ra, nghĩa là mô hình xử lý mặc định kim loại nặng do nhà đầu tư thứ cấp xử lý triệt để trước khi đấu nối. Cách tiếp cận này chấp nhận được về nguyên lý nhưng phải được thể hiện thành điều kiện bắt buộc, kèm cơ chế kiểm soát tại hố ga đấu nối của từng cơ sở, chứ không chỉ là một dòng ghi chú trong sơ đồ.</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Dự báo lưu lượng và tải lượng nước thải công nghiệp (chiếm khoảng 90% tổng lượng) được suy ra từ chỉ tiêu cấp nước quy hoạch 20 m³/ha, trong khi danh mục ngành nghề thu hút đầu tư gồm cả sản xuất giấy, ván MDF, chế biến nông lâm sản, sản xuất hóa chất thông thường, sản xuất vật liệu xây dựng là những ngành có nhu cầu nước và tải lượng ô nhiễm rất khác nhau. Kết luận công suất 1.000 m³/ngày đêm là đủ cho toàn bộ 52,97 ha đất công nghiệp chưa đủ căn cứ.</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b/>
          <w:kern w:val="0"/>
          <w:sz w:val="28"/>
          <w:szCs w:val="26"/>
        </w:rPr>
        <w:t>7.3. Câu hỏi:</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Trong 36,4 ha đất rừng sản xuất bị thu hồi, có diện tích rừng tự nhiên hoặc rừng phòng hộ không; nếu có thì diện tích cụ thể là bao nhiêu và đã có quyết định chủ trương chuyển mục đích sử dụng rừng chưa?</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Trạm xử lý nước thải tập trung công suất 1.000 m³/ngày đêm là công trình riêng của Cụm công nghiệp Y Can hay dùng chung với khu, cụm công nghiệp khác?</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Lưu lượng dòng chảy của Ngòi Gạo trong mùa kiệt là bao nhiêu; kết quả tính toán khả năng tiếp nhận nước thải của nguồn nước như thế nào?</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Phân vùng xả thải của khu vực đã được xác định chưa và theo văn bản nào; vị trí công trình khai thác nước thô của Nhà máy nước sạch xã Quy Mông cách vị trí xả nước thải bao xa, điểm xả có nằm trong vùng bảo hộ vệ sinh khu vực lấy nước sinh hoạt hoặc hành lang bảo vệ nguồn nước không?</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Tuyến ống xả HDPE D400 và cống D2000 tại vị trí xả (X = 2404776; Y = 508560) nằm ngoài ranh giới dự án, cơ sở pháp lý về quyền sử dụng đất, hành lang công trình cho tuyến xả này là gì; điểm xả nước mưa số 2 (X = 2404335; Y = 508806) thoát ra nguồn tiếp nhận nào?</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 Dự án đã triển khai thi công trên thực địa hay chưa; trạm xử lý nước thải tập trung được hoàn thành ở thời điểm nào so với thời điểm tiếp nhận nhà đầu tư thứ cấp có phát sinh nước thải?</w:t>
      </w:r>
    </w:p>
    <w:p w:rsidR="007347CE" w:rsidRDefault="00F63160"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b/>
          <w:kern w:val="0"/>
          <w:sz w:val="28"/>
          <w:szCs w:val="26"/>
        </w:rPr>
        <w:t>8. Những yêu cầu đối với chủ dự án đầu tư:</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Bổ sung, chuẩn hóa căn cứ pháp lý về việc xác định đối tượng thủ tục môi trường của dự án: viện dẫn Nghị quyết số 66.19/2026/NQ-CP ngày 18/5/2026 của Chính phủ (Mục VI và Mục VII Phần A Phụ lục IX); cung cấp hồ sơ chứng minh dự án không chiếm dụng rừng tự nhiên, rừng phòng hộ từ 0,2 ha trở lên và trạm xử lý nước thải tập trung là công trình riêng của dự án.</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Bổ sung nội dung đánh giá khả năng tiếp nhận nước thải, sức chịu tải của Ngòi Gạo: số liệu lưu lượng dòng chảy (đặc biệt mùa kiệt), tính toán tải lượng ô nhiễm tối đa, tải lượng ô nhiễm sẵn có và tải lượng của dự án; kết luận rõ nguồn nước còn khả năng tiếp nhận hay không.</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Viện dẫn căn cứ phân vùng xả thải và xác định lại cột áp dụng của QCVN 40:2025/BTNMT; xử lý mâu thuẫn giữa Chương II (Mức B QCVN 08:2023/BTNMT) và Chương VI (Cột A QCVN 40:2025/BTNMT). Rà soát, viện dẫn kèm thông tư ban hành và thời điểm hiệu lực đối với các quy chuẩn được áp dụng, trong đó có quy chuẩn về tiếng ồn, độ rung.</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Tính toán lại cân bằng nước và lưu lượng nước thải theo đúng hệ số không điều hòa, theo cơ cấu ngành nghề thu hút đầu tư và kịch bản lấp đầy; trên cơ sở đó xác định lại công suất trạm xử lý nước thải tập trung và lưu lượng xả nước thải tối đa đề nghị cấp phép, bảo đảm có hệ số dự phòng.</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Bổ sung tính toán hiệu suất xử lý của từng công đoạn theo từng thông số ô nhiễm, đặc biệt là florua, tổng phenol, tổng xianua, tổng dầu mỡ khoáng, độ màu và kim loại nặng; trường hợp dây chuyền không xử lý được thì phải bổ sung công đoạn xử lý phù hợp hoặc siết ngưỡng đấu nối đối với các thông số này.</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Thể hiện thành yêu cầu bắt buộc trong báo cáo và trong quy chế bảo vệ môi trường của cụm công nghiệp: điều kiện tiếp nhận nhà đầu tư thứ cấp; ngưỡng đấu nối; trách nhiệm xử lý sơ bộ, đặc biệt là kim loại nặng; bố trí hố ga đấu nối riêng cho từng cơ sở phục vụ kiểm tra, lấy mẫu; chế tài khi cơ sở vi phạm ngưỡng đấu nối.</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Làm rõ và chứng minh khoảng cách an toàn về môi trường từ ranh giới các lô đất công nghiệp đến Trường Tiểu học và Trung học cơ sở số 2 Y Can, điểm trường mầm non Hồng Tiến, khu dân cư thôn Quang Minh, thôn Hồng Tiến và khu tái định cư số 1; thể hiện trên bản vẽ vị trí, bề rộng dải cây xanh cách ly tương ứng với nhóm ngành nghề thu hút đầu tư; xử lý mâu thuẫn giữa số liệu 100 m, 130 m, 150 m với khẳng định bảo đảm 200 m.</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Hoàn thiện chương trình quan trắc: bổ sung thông số quan trắc tự động, liên tục đặc trưng theo cơ cấu ngành nghề, camera giám sát, thiết bị lấy mẫu tự động và phương án truyền số liệu về cơ quan chuyên môn về bảo vệ môi trường cấp tỉnh; bổ sung giám sát chất lượng nước mặt Ngòi Gạo tại thượng lưu và hạ lưu điểm xả; bổ sung đợt quan trắc hiện trạng có số liệu mùa kiệt và cung cấp giấy chứng nhận đủ điều kiện hoạt động dịch vụ quan trắc còn hiệu lực của đơn vị thực hiện.</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Làm rõ nội dung không đề nghị cấp phép đối với khí thải, nêu rõ lưu lượng của hệ thống xử lý mùi trạm xử lý nước thải tập trung và căn cứ xác định không thuộc đối tượng cấp phép.</w:t>
      </w:r>
    </w:p>
    <w:p w:rsidR="007347CE" w:rsidRDefault="00253CD1" w:rsidP="00F63160">
      <w:pPr>
        <w:shd w:val="clear" w:color="auto" w:fill="FFFFFF"/>
        <w:spacing w:after="12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w:t>
      </w:r>
      <w:r w:rsidR="00F63160">
        <w:rPr>
          <w:rFonts w:ascii="Times New Roman" w:eastAsia="Times New Roman" w:hAnsi="Times New Roman"/>
          <w:kern w:val="0"/>
          <w:sz w:val="28"/>
          <w:szCs w:val="26"/>
        </w:rPr>
        <w:t xml:space="preserve"> Bổ sung vào Chương VIII các cam kết đặc thù của chủ đầu tư hạ tầng cụm công nghiệp: hoàn thành hệ thống thu gom, thoát nước và trạm xử lý nước thải tập trung trước khi tiếp nhận dự án thứ cấp có phát sinh nước thải; chỉ tiếp nhận ngành nghề đúng quyết định thành lập cụm công nghiệp; bố trí nhân sự phụ trách bảo vệ môi trường; ban hành quy chế bảo vệ môi trường cụm công nghiệp theo quy định.</w:t>
      </w:r>
    </w:p>
    <w:p w:rsidR="007347CE" w:rsidRDefault="00F63160" w:rsidP="00F63160">
      <w:pPr>
        <w:shd w:val="clear" w:color="auto" w:fill="FFFFFF"/>
        <w:spacing w:after="0" w:line="240" w:lineRule="auto"/>
        <w:ind w:firstLine="567"/>
        <w:jc w:val="both"/>
        <w:rPr>
          <w:rFonts w:ascii="Times New Roman" w:eastAsia="Times New Roman" w:hAnsi="Times New Roman"/>
          <w:kern w:val="0"/>
          <w:sz w:val="26"/>
          <w:szCs w:val="26"/>
        </w:rPr>
      </w:pPr>
      <w:r>
        <w:rPr>
          <w:rFonts w:ascii="Times New Roman" w:eastAsia="Times New Roman" w:hAnsi="Times New Roman"/>
          <w:b/>
          <w:kern w:val="0"/>
          <w:sz w:val="28"/>
          <w:szCs w:val="26"/>
        </w:rPr>
        <w:t>9. Kết luận:</w:t>
      </w:r>
    </w:p>
    <w:p w:rsidR="007347CE" w:rsidRDefault="00F63160" w:rsidP="00F63160">
      <w:pPr>
        <w:shd w:val="clear" w:color="auto" w:fill="FFFFFF"/>
        <w:spacing w:after="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Thông qua với điều kiện phải chỉnh sửa, bổ sung.</w:t>
      </w:r>
    </w:p>
    <w:p w:rsidR="007347CE" w:rsidRDefault="00F63160" w:rsidP="00F63160">
      <w:pPr>
        <w:shd w:val="clear" w:color="auto" w:fill="FFFFFF"/>
        <w:spacing w:after="0" w:line="240" w:lineRule="auto"/>
        <w:ind w:firstLine="567"/>
        <w:jc w:val="both"/>
        <w:rPr>
          <w:rFonts w:ascii="Times New Roman" w:eastAsia="Times New Roman" w:hAnsi="Times New Roman"/>
          <w:kern w:val="0"/>
          <w:sz w:val="26"/>
          <w:szCs w:val="26"/>
        </w:rPr>
      </w:pPr>
      <w:r>
        <w:rPr>
          <w:rFonts w:ascii="Times New Roman" w:eastAsia="Times New Roman" w:hAnsi="Times New Roman"/>
          <w:kern w:val="0"/>
          <w:sz w:val="28"/>
          <w:szCs w:val="26"/>
        </w:rPr>
        <w:t>Chủ dự án chỉnh sửa, bổ sung đầy đủ các nội dung nêu tại mục 8, trong đó ưu tiên hoàn thiện nội dung đánh giá khả năng tiếp nhận nước thải của nguồn nước, xác định lại cột áp dụng của quy chuẩn về nước thải công nghiệp, tính toán lại cân bằng nước và công suất trạm xử lý nước thải tập trung, luận chứng công nghệ xử lý theo từng thông số ô nhiễm và khoảng cách an toàn về môi trường đến trường học, khu dân cư. Báo cáo sau khi chỉnh sửa, bổ sung phải được cơ quan thường trực thẩm định rà soát trước khi trình cấp có thẩm quyền cấp giấy phép môi trường.</w:t>
      </w:r>
      <w:bookmarkStart w:id="2" w:name="tc_13"/>
      <w:bookmarkStart w:id="3" w:name="tc_14"/>
      <w:bookmarkEnd w:id="2"/>
      <w:bookmarkEnd w:id="3"/>
    </w:p>
    <w:p w:rsidR="007347CE" w:rsidRDefault="00F63160" w:rsidP="00F63160">
      <w:pPr>
        <w:shd w:val="clear" w:color="auto" w:fill="FFFFFF"/>
        <w:spacing w:after="120" w:line="240" w:lineRule="auto"/>
        <w:jc w:val="both"/>
        <w:rPr>
          <w:rFonts w:ascii="Times New Roman" w:eastAsia="Times New Roman" w:hAnsi="Times New Roman"/>
          <w:i/>
          <w:iCs/>
          <w:kern w:val="0"/>
          <w:sz w:val="26"/>
          <w:szCs w:val="26"/>
        </w:rPr>
      </w:pPr>
      <w:r>
        <w:rPr>
          <w:rFonts w:ascii="Times New Roman" w:eastAsia="Times New Roman" w:hAnsi="Times New Roman"/>
          <w:i/>
          <w:iCs/>
          <w:kern w:val="0"/>
          <w:sz w:val="28"/>
          <w:szCs w:val="26"/>
        </w:rPr>
        <w:t> </w:t>
      </w:r>
    </w:p>
    <w:tbl>
      <w:tblPr>
        <w:tblW w:w="5000" w:type="pct"/>
        <w:tblLayout w:type="fixed"/>
        <w:tblLook w:val="04A0" w:firstRow="1" w:lastRow="0" w:firstColumn="1" w:lastColumn="0" w:noHBand="0" w:noVBand="1"/>
      </w:tblPr>
      <w:tblGrid>
        <w:gridCol w:w="4035"/>
        <w:gridCol w:w="5252"/>
      </w:tblGrid>
      <w:tr w:rsidR="007347CE">
        <w:tc>
          <w:tcPr>
            <w:tcW w:w="3941" w:type="dxa"/>
            <w:shd w:val="clear" w:color="auto" w:fill="FFFFFF"/>
          </w:tcPr>
          <w:p w:rsidR="007347CE" w:rsidRDefault="00F63160" w:rsidP="00F63160">
            <w:pPr>
              <w:spacing w:after="120" w:line="240" w:lineRule="auto"/>
              <w:rPr>
                <w:rFonts w:ascii="Times New Roman" w:eastAsia="Times New Roman" w:hAnsi="Times New Roman"/>
                <w:kern w:val="0"/>
                <w:sz w:val="26"/>
                <w:szCs w:val="26"/>
              </w:rPr>
            </w:pPr>
            <w:r>
              <w:rPr>
                <w:rFonts w:ascii="Times New Roman" w:eastAsia="Times New Roman" w:hAnsi="Times New Roman"/>
                <w:kern w:val="0"/>
                <w:sz w:val="28"/>
                <w:szCs w:val="26"/>
              </w:rPr>
              <w:t> </w:t>
            </w:r>
          </w:p>
        </w:tc>
        <w:tc>
          <w:tcPr>
            <w:tcW w:w="5130" w:type="dxa"/>
            <w:shd w:val="clear" w:color="auto" w:fill="FFFFFF"/>
          </w:tcPr>
          <w:p w:rsidR="007347CE" w:rsidRDefault="00F63160" w:rsidP="00F63160">
            <w:pPr>
              <w:spacing w:after="120" w:line="240" w:lineRule="auto"/>
              <w:jc w:val="center"/>
              <w:rPr>
                <w:rFonts w:ascii="Times New Roman" w:eastAsia="Times New Roman" w:hAnsi="Times New Roman"/>
                <w:kern w:val="0"/>
                <w:sz w:val="26"/>
                <w:szCs w:val="26"/>
              </w:rPr>
            </w:pPr>
            <w:r>
              <w:rPr>
                <w:rFonts w:ascii="Times New Roman" w:eastAsia="Times New Roman" w:hAnsi="Times New Roman"/>
                <w:i/>
                <w:iCs/>
                <w:kern w:val="0"/>
                <w:sz w:val="28"/>
                <w:szCs w:val="26"/>
              </w:rPr>
              <w:t>Lào Cai, ngày      tháng 8 năm 2026</w:t>
            </w:r>
          </w:p>
          <w:p w:rsidR="007347CE" w:rsidRDefault="00F63160" w:rsidP="00F63160">
            <w:pPr>
              <w:spacing w:after="0" w:line="240" w:lineRule="auto"/>
              <w:jc w:val="center"/>
              <w:rPr>
                <w:rFonts w:ascii="Times New Roman" w:eastAsia="Times New Roman" w:hAnsi="Times New Roman"/>
                <w:kern w:val="0"/>
                <w:sz w:val="26"/>
                <w:szCs w:val="26"/>
              </w:rPr>
            </w:pPr>
            <w:r>
              <w:rPr>
                <w:rFonts w:ascii="Times New Roman" w:eastAsia="Times New Roman" w:hAnsi="Times New Roman"/>
                <w:b/>
                <w:iCs/>
                <w:spacing w:val="-10"/>
                <w:kern w:val="0"/>
                <w:sz w:val="28"/>
                <w:szCs w:val="26"/>
              </w:rPr>
              <w:t>THÀNH VIÊN HỘI ĐỒNG THẨM ĐỊNH</w:t>
            </w:r>
          </w:p>
          <w:p w:rsidR="007347CE" w:rsidRDefault="00F63160" w:rsidP="00F63160">
            <w:pPr>
              <w:spacing w:after="0" w:line="240" w:lineRule="auto"/>
              <w:jc w:val="center"/>
              <w:rPr>
                <w:rFonts w:ascii="Times New Roman" w:eastAsia="Times New Roman" w:hAnsi="Times New Roman"/>
                <w:kern w:val="0"/>
                <w:sz w:val="26"/>
                <w:szCs w:val="26"/>
              </w:rPr>
            </w:pPr>
            <w:r>
              <w:rPr>
                <w:rFonts w:ascii="Times New Roman" w:eastAsia="Times New Roman" w:hAnsi="Times New Roman"/>
                <w:i/>
                <w:iCs/>
                <w:kern w:val="0"/>
                <w:sz w:val="28"/>
                <w:szCs w:val="26"/>
              </w:rPr>
              <w:t>(Ký, ghi rõ họ tên)</w:t>
            </w:r>
          </w:p>
          <w:p w:rsidR="007347CE" w:rsidRDefault="007347CE" w:rsidP="00F63160">
            <w:pPr>
              <w:spacing w:after="0" w:line="240" w:lineRule="auto"/>
              <w:jc w:val="center"/>
              <w:rPr>
                <w:rFonts w:ascii="Times New Roman" w:eastAsia="Times New Roman" w:hAnsi="Times New Roman"/>
                <w:kern w:val="0"/>
                <w:sz w:val="26"/>
                <w:szCs w:val="26"/>
              </w:rPr>
            </w:pPr>
          </w:p>
          <w:p w:rsidR="007347CE" w:rsidRDefault="007347CE" w:rsidP="00F63160">
            <w:pPr>
              <w:spacing w:after="0" w:line="240" w:lineRule="auto"/>
              <w:jc w:val="center"/>
              <w:rPr>
                <w:rFonts w:ascii="Times New Roman" w:eastAsia="Times New Roman" w:hAnsi="Times New Roman"/>
                <w:kern w:val="0"/>
                <w:sz w:val="26"/>
                <w:szCs w:val="26"/>
              </w:rPr>
            </w:pPr>
          </w:p>
          <w:p w:rsidR="007347CE" w:rsidRDefault="007347CE" w:rsidP="00F63160">
            <w:pPr>
              <w:spacing w:after="0" w:line="240" w:lineRule="auto"/>
              <w:jc w:val="center"/>
              <w:rPr>
                <w:rFonts w:ascii="Times New Roman" w:eastAsia="Times New Roman" w:hAnsi="Times New Roman"/>
                <w:kern w:val="0"/>
                <w:sz w:val="26"/>
                <w:szCs w:val="26"/>
              </w:rPr>
            </w:pPr>
          </w:p>
          <w:p w:rsidR="007347CE" w:rsidRDefault="007347CE" w:rsidP="00F63160">
            <w:pPr>
              <w:spacing w:after="0" w:line="240" w:lineRule="auto"/>
              <w:jc w:val="center"/>
              <w:rPr>
                <w:rFonts w:ascii="Times New Roman" w:eastAsia="Times New Roman" w:hAnsi="Times New Roman"/>
                <w:kern w:val="0"/>
                <w:sz w:val="26"/>
                <w:szCs w:val="26"/>
              </w:rPr>
            </w:pPr>
          </w:p>
          <w:p w:rsidR="007347CE" w:rsidRDefault="00F63160" w:rsidP="00F63160">
            <w:pPr>
              <w:spacing w:after="0" w:line="240" w:lineRule="auto"/>
              <w:jc w:val="center"/>
              <w:rPr>
                <w:rFonts w:ascii="Times New Roman" w:eastAsia="Times New Roman" w:hAnsi="Times New Roman"/>
                <w:kern w:val="0"/>
                <w:sz w:val="26"/>
                <w:szCs w:val="26"/>
              </w:rPr>
            </w:pPr>
            <w:r>
              <w:rPr>
                <w:rFonts w:ascii="Times New Roman" w:eastAsia="Times New Roman" w:hAnsi="Times New Roman"/>
                <w:b/>
                <w:iCs/>
                <w:kern w:val="0"/>
                <w:sz w:val="28"/>
                <w:szCs w:val="26"/>
              </w:rPr>
              <w:t>Trần Trọng Trang</w:t>
            </w:r>
          </w:p>
        </w:tc>
      </w:tr>
    </w:tbl>
    <w:p w:rsidR="007347CE" w:rsidRDefault="00F63160" w:rsidP="00F63160">
      <w:pPr>
        <w:shd w:val="clear" w:color="auto" w:fill="FFFFFF"/>
        <w:spacing w:after="120" w:line="240" w:lineRule="auto"/>
        <w:jc w:val="center"/>
        <w:rPr>
          <w:rFonts w:ascii="Times New Roman" w:eastAsia="Times New Roman" w:hAnsi="Times New Roman"/>
          <w:i/>
          <w:iCs/>
          <w:kern w:val="0"/>
          <w:sz w:val="26"/>
          <w:szCs w:val="26"/>
          <w:lang w:val="vi-VN"/>
        </w:rPr>
      </w:pPr>
      <w:r>
        <w:rPr>
          <w:rFonts w:ascii="Times New Roman" w:eastAsia="Times New Roman" w:hAnsi="Times New Roman"/>
          <w:i/>
          <w:iCs/>
          <w:kern w:val="0"/>
          <w:sz w:val="28"/>
          <w:szCs w:val="26"/>
        </w:rPr>
        <w:t> </w:t>
      </w:r>
    </w:p>
    <w:p w:rsidR="007347CE" w:rsidRDefault="007347CE" w:rsidP="00F63160">
      <w:pPr>
        <w:shd w:val="clear" w:color="auto" w:fill="FFFFFF"/>
        <w:spacing w:after="120" w:line="240" w:lineRule="auto"/>
        <w:jc w:val="center"/>
        <w:rPr>
          <w:rFonts w:ascii="Times New Roman" w:eastAsia="Times New Roman" w:hAnsi="Times New Roman"/>
          <w:i/>
          <w:iCs/>
          <w:kern w:val="0"/>
          <w:sz w:val="26"/>
          <w:szCs w:val="26"/>
          <w:lang w:val="vi-VN"/>
        </w:rPr>
      </w:pPr>
    </w:p>
    <w:p w:rsidR="007347CE" w:rsidRDefault="00F63160" w:rsidP="00F63160">
      <w:pPr>
        <w:shd w:val="clear" w:color="auto" w:fill="FFFFFF"/>
        <w:spacing w:after="120" w:line="240" w:lineRule="auto"/>
        <w:rPr>
          <w:rFonts w:ascii="Times New Roman" w:eastAsia="Times New Roman" w:hAnsi="Times New Roman"/>
          <w:kern w:val="0"/>
          <w:sz w:val="26"/>
          <w:szCs w:val="26"/>
        </w:rPr>
      </w:pPr>
      <w:r>
        <w:rPr>
          <w:rFonts w:ascii="Times New Roman" w:eastAsia="Times New Roman" w:hAnsi="Times New Roman"/>
          <w:b/>
          <w:bCs/>
          <w:kern w:val="0"/>
          <w:sz w:val="28"/>
          <w:szCs w:val="26"/>
        </w:rPr>
        <w:t> </w:t>
      </w:r>
    </w:p>
    <w:p w:rsidR="007347CE" w:rsidRDefault="007347CE" w:rsidP="00F63160">
      <w:pPr>
        <w:spacing w:line="240" w:lineRule="auto"/>
        <w:rPr>
          <w:rFonts w:ascii="Times New Roman" w:eastAsia="Times New Roman" w:hAnsi="Times New Roman"/>
          <w:kern w:val="0"/>
          <w:sz w:val="26"/>
          <w:szCs w:val="26"/>
        </w:rPr>
      </w:pPr>
    </w:p>
    <w:sectPr w:rsidR="007347CE">
      <w:pgSz w:w="11906" w:h="16838"/>
      <w:pgMar w:top="1134" w:right="1134" w:bottom="1134" w:left="1701" w:header="0" w:footer="0" w:gutter="0"/>
      <w:cols w:space="720"/>
      <w:formProt w:val="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Aptos">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95473D"/>
    <w:multiLevelType w:val="multilevel"/>
    <w:tmpl w:val="7CC0459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autoHyphenation/>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347CE"/>
    <w:rsid w:val="00253CD1"/>
    <w:rsid w:val="004776D9"/>
    <w:rsid w:val="005102C0"/>
    <w:rsid w:val="007347CE"/>
    <w:rsid w:val="00F63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2E8BB7D8-E4CF-4938-A2C7-04DAB66C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after="160" w:line="276" w:lineRule="auto"/>
    </w:pPr>
    <w:rPr>
      <w:rFonts w:ascii="Aptos" w:eastAsia="Aptos" w:hAnsi="Aptos" w:cs="Times New Roman"/>
      <w:kern w:val="2"/>
      <w:sz w:val="24"/>
      <w:szCs w:val="24"/>
      <w:lang w:eastAsia="zh-CN"/>
    </w:rPr>
  </w:style>
  <w:style w:type="paragraph" w:styleId="Heading1">
    <w:name w:val="heading 1"/>
    <w:basedOn w:val="Normal"/>
    <w:next w:val="Normal"/>
    <w:qFormat/>
    <w:pPr>
      <w:keepNext/>
      <w:keepLines/>
      <w:numPr>
        <w:numId w:val="1"/>
      </w:numPr>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qFormat/>
    <w:pPr>
      <w:keepNext/>
      <w:keepLines/>
      <w:numPr>
        <w:ilvl w:val="1"/>
        <w:numId w:val="1"/>
      </w:numPr>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qFormat/>
    <w:pPr>
      <w:keepNext/>
      <w:keepLines/>
      <w:numPr>
        <w:ilvl w:val="2"/>
        <w:numId w:val="1"/>
      </w:numPr>
      <w:spacing w:before="160" w:after="80"/>
      <w:outlineLvl w:val="2"/>
    </w:pPr>
    <w:rPr>
      <w:rFonts w:eastAsia="Times New Roman"/>
      <w:color w:val="0F4761"/>
      <w:sz w:val="28"/>
      <w:szCs w:val="28"/>
    </w:rPr>
  </w:style>
  <w:style w:type="paragraph" w:styleId="Heading4">
    <w:name w:val="heading 4"/>
    <w:basedOn w:val="Normal"/>
    <w:next w:val="Normal"/>
    <w:qFormat/>
    <w:pPr>
      <w:keepNext/>
      <w:keepLines/>
      <w:numPr>
        <w:ilvl w:val="3"/>
        <w:numId w:val="1"/>
      </w:numPr>
      <w:spacing w:before="80" w:after="40"/>
      <w:outlineLvl w:val="3"/>
    </w:pPr>
    <w:rPr>
      <w:rFonts w:eastAsia="Times New Roman"/>
      <w:i/>
      <w:iCs/>
      <w:color w:val="0F4761"/>
    </w:rPr>
  </w:style>
  <w:style w:type="paragraph" w:styleId="Heading5">
    <w:name w:val="heading 5"/>
    <w:basedOn w:val="Normal"/>
    <w:next w:val="Normal"/>
    <w:qFormat/>
    <w:pPr>
      <w:keepNext/>
      <w:keepLines/>
      <w:numPr>
        <w:ilvl w:val="4"/>
        <w:numId w:val="1"/>
      </w:numPr>
      <w:spacing w:before="80" w:after="40"/>
      <w:outlineLvl w:val="4"/>
    </w:pPr>
    <w:rPr>
      <w:rFonts w:eastAsia="Times New Roman"/>
      <w:color w:val="0F4761"/>
    </w:rPr>
  </w:style>
  <w:style w:type="paragraph" w:styleId="Heading6">
    <w:name w:val="heading 6"/>
    <w:basedOn w:val="Normal"/>
    <w:next w:val="Normal"/>
    <w:qFormat/>
    <w:pPr>
      <w:keepNext/>
      <w:keepLines/>
      <w:numPr>
        <w:ilvl w:val="5"/>
        <w:numId w:val="1"/>
      </w:numPr>
      <w:spacing w:before="40" w:after="0"/>
      <w:outlineLvl w:val="5"/>
    </w:pPr>
    <w:rPr>
      <w:rFonts w:eastAsia="Times New Roman"/>
      <w:i/>
      <w:iCs/>
      <w:color w:val="595959"/>
    </w:rPr>
  </w:style>
  <w:style w:type="paragraph" w:styleId="Heading7">
    <w:name w:val="heading 7"/>
    <w:basedOn w:val="Normal"/>
    <w:next w:val="Normal"/>
    <w:qFormat/>
    <w:pPr>
      <w:keepNext/>
      <w:keepLines/>
      <w:numPr>
        <w:ilvl w:val="6"/>
        <w:numId w:val="1"/>
      </w:numPr>
      <w:spacing w:before="40" w:after="0"/>
      <w:outlineLvl w:val="6"/>
    </w:pPr>
    <w:rPr>
      <w:rFonts w:eastAsia="Times New Roman"/>
      <w:color w:val="595959"/>
    </w:rPr>
  </w:style>
  <w:style w:type="paragraph" w:styleId="Heading8">
    <w:name w:val="heading 8"/>
    <w:basedOn w:val="Normal"/>
    <w:next w:val="Normal"/>
    <w:qFormat/>
    <w:pPr>
      <w:keepNext/>
      <w:keepLines/>
      <w:numPr>
        <w:ilvl w:val="7"/>
        <w:numId w:val="1"/>
      </w:numPr>
      <w:spacing w:after="0"/>
      <w:outlineLvl w:val="7"/>
    </w:pPr>
    <w:rPr>
      <w:rFonts w:eastAsia="Times New Roman"/>
      <w:i/>
      <w:iCs/>
      <w:color w:val="272727"/>
    </w:rPr>
  </w:style>
  <w:style w:type="paragraph" w:styleId="Heading9">
    <w:name w:val="heading 9"/>
    <w:basedOn w:val="Normal"/>
    <w:next w:val="Normal"/>
    <w:qFormat/>
    <w:pPr>
      <w:keepNext/>
      <w:keepLines/>
      <w:numPr>
        <w:ilvl w:val="8"/>
        <w:numId w:val="1"/>
      </w:numPr>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Pr>
      <w:rFonts w:ascii="Aptos Display" w:eastAsia="Times New Roman" w:hAnsi="Aptos Display" w:cs="Times New Roman"/>
      <w:color w:val="0F4761"/>
      <w:sz w:val="40"/>
      <w:szCs w:val="40"/>
    </w:rPr>
  </w:style>
  <w:style w:type="character" w:customStyle="1" w:styleId="Heading2Char">
    <w:name w:val="Heading 2 Char"/>
    <w:qFormat/>
    <w:rPr>
      <w:rFonts w:ascii="Aptos Display" w:eastAsia="Times New Roman" w:hAnsi="Aptos Display" w:cs="Times New Roman"/>
      <w:color w:val="0F4761"/>
      <w:sz w:val="32"/>
      <w:szCs w:val="32"/>
    </w:rPr>
  </w:style>
  <w:style w:type="character" w:customStyle="1" w:styleId="Heading3Char">
    <w:name w:val="Heading 3 Char"/>
    <w:qFormat/>
    <w:rPr>
      <w:rFonts w:eastAsia="Times New Roman" w:cs="Times New Roman"/>
      <w:color w:val="0F4761"/>
      <w:sz w:val="28"/>
      <w:szCs w:val="28"/>
    </w:rPr>
  </w:style>
  <w:style w:type="character" w:customStyle="1" w:styleId="Heading4Char">
    <w:name w:val="Heading 4 Char"/>
    <w:qFormat/>
    <w:rPr>
      <w:rFonts w:eastAsia="Times New Roman" w:cs="Times New Roman"/>
      <w:i/>
      <w:iCs/>
      <w:color w:val="0F4761"/>
    </w:rPr>
  </w:style>
  <w:style w:type="character" w:customStyle="1" w:styleId="Heading5Char">
    <w:name w:val="Heading 5 Char"/>
    <w:qFormat/>
    <w:rPr>
      <w:rFonts w:eastAsia="Times New Roman" w:cs="Times New Roman"/>
      <w:color w:val="0F4761"/>
    </w:rPr>
  </w:style>
  <w:style w:type="character" w:customStyle="1" w:styleId="Heading6Char">
    <w:name w:val="Heading 6 Char"/>
    <w:qFormat/>
    <w:rPr>
      <w:rFonts w:eastAsia="Times New Roman" w:cs="Times New Roman"/>
      <w:i/>
      <w:iCs/>
      <w:color w:val="595959"/>
    </w:rPr>
  </w:style>
  <w:style w:type="character" w:customStyle="1" w:styleId="Heading7Char">
    <w:name w:val="Heading 7 Char"/>
    <w:qFormat/>
    <w:rPr>
      <w:rFonts w:eastAsia="Times New Roman" w:cs="Times New Roman"/>
      <w:color w:val="595959"/>
    </w:rPr>
  </w:style>
  <w:style w:type="character" w:customStyle="1" w:styleId="Heading8Char">
    <w:name w:val="Heading 8 Char"/>
    <w:qFormat/>
    <w:rPr>
      <w:rFonts w:eastAsia="Times New Roman" w:cs="Times New Roman"/>
      <w:i/>
      <w:iCs/>
      <w:color w:val="272727"/>
    </w:rPr>
  </w:style>
  <w:style w:type="character" w:customStyle="1" w:styleId="Heading9Char">
    <w:name w:val="Heading 9 Char"/>
    <w:qFormat/>
    <w:rPr>
      <w:rFonts w:eastAsia="Times New Roman" w:cs="Times New Roman"/>
      <w:color w:val="272727"/>
    </w:rPr>
  </w:style>
  <w:style w:type="character" w:customStyle="1" w:styleId="TitleChar">
    <w:name w:val="Title Char"/>
    <w:qFormat/>
    <w:rPr>
      <w:rFonts w:ascii="Aptos Display" w:eastAsia="Times New Roman" w:hAnsi="Aptos Display" w:cs="Times New Roman"/>
      <w:spacing w:val="-10"/>
      <w:kern w:val="2"/>
      <w:sz w:val="56"/>
      <w:szCs w:val="56"/>
    </w:rPr>
  </w:style>
  <w:style w:type="character" w:customStyle="1" w:styleId="SubtitleChar">
    <w:name w:val="Subtitle Char"/>
    <w:qFormat/>
    <w:rPr>
      <w:rFonts w:eastAsia="Times New Roman" w:cs="Times New Roman"/>
      <w:color w:val="595959"/>
      <w:spacing w:val="15"/>
      <w:sz w:val="28"/>
      <w:szCs w:val="28"/>
    </w:rPr>
  </w:style>
  <w:style w:type="character" w:customStyle="1" w:styleId="QuoteChar">
    <w:name w:val="Quote Char"/>
    <w:qFormat/>
    <w:rPr>
      <w:i/>
      <w:iCs/>
      <w:color w:val="404040"/>
    </w:rPr>
  </w:style>
  <w:style w:type="character" w:styleId="IntenseEmphasis">
    <w:name w:val="Intense Emphasis"/>
    <w:qFormat/>
    <w:rPr>
      <w:i/>
      <w:iCs/>
      <w:color w:val="0F4761"/>
    </w:rPr>
  </w:style>
  <w:style w:type="character" w:customStyle="1"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Hyperlink">
    <w:name w:val="Hyperlink"/>
    <w:rPr>
      <w:color w:val="467886"/>
      <w:u w:val="single"/>
    </w:rPr>
  </w:style>
  <w:style w:type="character" w:customStyle="1" w:styleId="UnresolvedMention">
    <w:name w:val="Unresolved Mention"/>
    <w:qFormat/>
    <w:rPr>
      <w:color w:val="605E5C"/>
      <w:shd w:val="clear" w:color="auto" w:fill="E1DFDD"/>
    </w:rPr>
  </w:style>
  <w:style w:type="paragraph" w:customStyle="1" w:styleId="Heading">
    <w:name w:val="Heading"/>
    <w:basedOn w:val="Normal"/>
    <w:next w:val="Normal"/>
    <w:qFormat/>
    <w:pPr>
      <w:spacing w:after="80" w:line="240" w:lineRule="auto"/>
      <w:contextualSpacing/>
    </w:pPr>
    <w:rPr>
      <w:rFonts w:ascii="Aptos Display" w:eastAsia="Times New Roman" w:hAnsi="Aptos Display"/>
      <w:spacing w:val="-10"/>
      <w:sz w:val="56"/>
      <w:szCs w:val="56"/>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Subtitle">
    <w:name w:val="Subtitle"/>
    <w:basedOn w:val="Normal"/>
    <w:next w:val="Normal"/>
    <w:qFormat/>
    <w:rPr>
      <w:rFonts w:eastAsia="Times New Roman"/>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4776D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776D9"/>
    <w:rPr>
      <w:rFonts w:ascii="Segoe UI" w:eastAsia="Aptos" w:hAnsi="Segoe UI" w:cs="Segoe UI"/>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uvienphapluat.vn/van-ban/Tien-te-Ngan-hang/Quyet-dinh-21-2025-QD-TTg-xac-nhan-du-an-dau-tu-thuoc-danh-muc-phan-loai-xanh-650735.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3519</Words>
  <Characters>20059</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CỘNG HÒA XÃ HỘI CHỦ NGHĨA VIỆT NAM</vt:lpstr>
      <vt:lpstr>Độc lập – Tự do – Hạnh phúc</vt:lpstr>
      <vt:lpstr>BẢN NHẬN XÉT</vt:lpstr>
      <vt:lpstr>    Báo cáo đề xuất cấp giấy phép môi trường của thành viên Hội đồng thẩm định</vt:lpstr>
    </vt:vector>
  </TitlesOfParts>
  <Company/>
  <LinksUpToDate>false</LinksUpToDate>
  <CharactersWithSpaces>23531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cp:revision>
  <cp:lastPrinted>2026-08-12T14:44:00Z</cp:lastPrinted>
  <dcterms:created xsi:type="dcterms:W3CDTF">2026-08-12T14:33:00Z</dcterms:created>
  <dcterms:modified xsi:type="dcterms:W3CDTF">2026-08-12T15:08:00Z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2026-08-11T04:00:00Z</dcterms:created>
  <dc:creator>thunganhunre@gmail.com</dc:creator>
  <dc:description/>
  <cp:keywords/>
  <dc:language>en-US</dc:language>
  <cp:lastModifiedBy>thunganhunre@gmail.com</cp:lastModifiedBy>
  <dcterms:modified xsi:type="dcterms:W3CDTF">2026-08-11T04:03:00Z</dcterms:modified>
  <cp:revision>1</cp:revision>
  <dc:subject/>
  <dc:title/>
</cp:coreProperties>
</file>