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UBND TỈNH LÀO CAI</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b/>
                <w:color w:val="000000"/>
                <w:sz w:val="26"/>
              </w:rPr>
              <w:t>SỞ CÔNG THƯƠNG</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Số:           /QĐ-XPHC</w:t>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Lào Cai, ngày      tháng 8 năm 2026</w:t>
            </w:r>
          </w:p>
        </w:tc>
      </w:tr>
    </w:tbl>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QUYẾT ĐỊNH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Xử phạt vi phạm hành chính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GIÁM ĐỐC SỞ CÔNG THƯƠNG TỈNH LÀO CAI</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Điều 57, Điều 68, Điều 70, Điều 78, Điều 85 Luật Xử lý vi phạm hành chính (sửa đổi, bổ sung năm 2020 và năm 2025);</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Luật số 42/2024/QH15 ngày 29/6/2024 về Quản lý, sử dụng vũ khí, vật liệu nổ và công cụ hỗ trợ;</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Nghị định số 71/2019/NĐ-CP ngày 30/8/2019 của Chính phủ quy định xử phạt vi phạm hành chính trong lĩnh vực hóa chất, vật liệu nổ công nghiệp; Nghị định số 17/2022/NĐ-CP ngày 31/01/2022 của Chính phủ sửa đổi, bổ sung một số điều của các nghị định quy định về xử phạt vi phạm hành chính trong lĩnh vực hóa chất, vật liệu nổ công nghiệp và các lĩnh vực có liên quan;</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Nghị định số 181/2024/NĐ-CP ngày 31/12/2024 của Chính phủ quy định chi tiết một số điều của Luật Quản lý, sử dụng vũ khí, vật liệu nổ và công cụ hỗ trợ về vật liệu nổ công nghiệp và tiền chất thuốc nổ;</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Nghị định số 118/2021/NĐ-CP ngày 23/12/2021 của Chính phủ quy định chi tiết một số điều và biện pháp thi hành Luật Xử lý vi phạm hành chính; Nghị định số 68/2025/NĐ-CP ngày 18/3/2025 và Nghị định số 190/2025/NĐ-CP ngày 01/7/2025 của Chính phủ sửa đổi, bổ sung một số điều của Nghị định số 118/2021/NĐ-CP;</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Nghị định số 189/2025/NĐ-CP ngày 01/7/2025 của Chính phủ quy định chi tiết Luật Xử lý vi phạm hành chính về thẩm quyền xử phạt vi phạm hành chính;</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Nghị định số 217/2025/NĐ-CP ngày 05/8/2025 của Chính phủ quy định về hoạt động kiểm tra chuyên ngành; Thông tư số 56/2025/TT-BCT ngày 28/11/2025 của Bộ trưởng Bộ Công Thương quy định về quy trình kiểm tra chuyên ngành Công Thương;</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Quyết định số 05/2025/QĐ-UBND ngày 01/7/2025 của Ủy ban nhân dân tỉnh Lào Cai ban hành Quy định chức năng, nhiệm vụ, quyền hạn và cơ cấu tổ chức của Sở Công Thương tỉnh Lào Cai;</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Quyết định số 4875/QĐ-SCT ngày 12/8/2026 của Giám đốc Sở Công Thương tỉnh Lào Cai về việc thành lập Đoàn kiểm tra, xác minh việc lập, thực hiện các hộ chiếu nổ mìn của Công ty Công nghiệp Hóa chất mỏ Tây Bắc nêu tại Kết luận thanh tra số 48/KL-TT ngày 05/7/2026 của Chánh Thanh tra tỉnh;</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Kết luận thanh tra số 48/KL-TT ngày 05/7/2026 của Chánh Thanh tra tỉnh và Văn bản số 7962/UBND-NC ngày 06/8/2026 của Ủy ban nhân dân tỉnh Lào Cai;</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Biên bản vi phạm hành chính số 01.HCMTB/BB-VPHC lập hồi ...... giờ ...... phút ngày ...... tháng ...... năm 2026 tại Công ty Công nghiệp Hóa chất mỏ Tây Bắc;</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Căn cứ Quyết định số 1094/QĐ-SCT ngày 09/3/2026 của Giám đốc Sở Công Thương tỉnh Lào Cai về việc giao quyền xử phạt vi phạm hành chính.</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QUYẾT ĐỊNH: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Điều 1.</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 Xử phạt vi phạm hành chính đối với tổ chức có tên sau đây:</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Tên tổ chức: Công ty Công nghiệp Hóa chất mỏ Tây Bắc.</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Địa chỉ trụ sở chính: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Mã số doanh nghiệp: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Giấy chứng nhận đăng ký doanh nghiệp: ......................................; đăng ký lần đầu ngày ......................; đăng ký thay đổi lần thứ ...... ngày ......................; nơi cấp: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Người đại diện theo pháp luật: ......................; Giới tính: ......................; Chức danh: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 Đã thực hiện hành vi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thứ nhất: Hộ chiếu nổ mìn lập không phù hợp với phương án nổ mìn được phê duyệt.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Mô tả hành vi: Tại thời điểm kiểm tra, Đoàn kiểm tra xác minh Hộ chiếu nổ mìn số ...................... ngày ...................... tại khai trường ...................... do Công ty lập không phù hợp với phương án nổ mìn được phê duyệt, cụ thể: ......................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 Quy định tại: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thứ nhất: Theo quy định tại điểm a khoản 2 Điều 56 và khoản 2 Điều 4 Nghị định số 71/2019/NĐ-CP ngày 30/8/2019 (được sửa đổi, bổ sung bởi Nghị định số 17/2022/NĐ-CP ngày 31/01/2022).</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4. Các tình tiết tăng nặng (nếu có):</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thứ nhất: Không.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5. Các tình tiết giảm nhẹ (nếu có):</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thứ nhất: Không.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6. Bị áp dụng hình thức xử phạt, biện pháp khắc phục hậu quả như sau: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a) Hình thức xử phạt chính: Phạt tiền.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thứ nhất: 15.000.000 đồng (Bằng chữ: Mười lăm triệu đồng chẵn).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Tổng số tiền phạt là 15.000.000 đồng (Bằng chữ: Mười lăm triệu đồng chẵn).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i/>
        </w:rPr>
      </w:r>
      <w:r>
        <w:rPr>
          <w:rFonts w:ascii="Times New Roman" w:hAnsi="Times New Roman"/>
          <w:szCs w:val="28"/>
          <w:lang w:val="nl-NL"/>
          <w:sz w:val="28"/>
          <w:i/>
        </w:rPr>
        <w:t xml:space="preserve">(Mức phạt tiền quy định tại điểm a khoản 2 Điều 56 Nghị định số 71/2019/NĐ-CP là từ 5.000.000 đồng đến 10.000.000 đồng đối với cá nhân; mức phạt tiền đối với tổ chức bằng 02 lần mức phạt tiền đối với cá nhân theo khoản 2 Điều 4 Nghị định số 71/2019/NĐ-CP, tương ứng từ 10.000.000 đồng đến 20.000.000 đồng; mức trung bình của khung tiền phạt là 15.000.000 đồng)</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 Hình thức xử phạt bổ sung (nếu có):</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thứ nhất: Không.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 Biện pháp khắc phục hậu quả (nếu có):</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thứ nhất: Không.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Điều 2. Quyết định này có hiệu lực thi hành kể từ ngày ký.</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Điều 3. Quyết định này được: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 Giao cho Công ty Công nghiệp Hóa chất mỏ Tây Bắc để chấp hành Quyết định. Công ty Công nghiệp Hóa chất mỏ Tây Bắc phải nghiêm chỉnh chấp hành Quyết định xử phạt này. Nếu quá thời hạn mà Công ty Công nghiệp Hóa chất mỏ Tây Bắc không tự nguyện chấp hành thì sẽ bị cưỡng chế thi hành theo quy định của pháp luật và cứ mỗi ngày chậm nộp tiền phạt thì Công ty Công nghiệp Hóa chất mỏ Tây Bắc phải nộp thêm 0,05% tính trên tổng số tiền phạt chưa nộp.</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a) Công ty Công nghiệp Hóa chất mỏ Tây Bắc bị xử phạt có tên tại Điều 1 phải nộp tiền phạt tại các ngân hàng thương mại nơi Kho bạc Nhà nước khu vực IX mở tài khoản theo thông tin nộp ngân sách nhà nước như sau: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Tài khoản: Tài khoản thu NSNN 7111; Mã cơ quan ra quyết định xử phạt: H38.2; Mã chương: 416; Mã nội dung kinh tế (mã tiểu mục): 4278; trong thời hạn 10 ngày, kể từ ngày nhận được Quyết định này.</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 Công ty Công nghiệp Hóa chất mỏ Tây Bắc không bị tạm giữ giấy tờ, tang vật, phương tiện vi phạm hành chính để bảo đảm thi hành quyết định xử phạt.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 Công ty Công nghiệp Hóa chất mỏ Tây Bắc có quyền khiếu nại hoặc khởi kiện hành chính đối với Quyết định này theo quy định của pháp luật.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 Gửi cho các ngân hàng thương mại nơi Kho bạc Nhà nước khu vực IX mở tài khoản giao dịch để thu tiền phạt (Vietinbank, Vietcombank, Agribank, BIDV, Techcombank).</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 Gửi cho Đoàn kiểm tra theo Quyết định số 4875/QĐ-SCT ngày 12/8/2026 của Giám đốc Sở Công Thương tỉnh Lào Cai để tổ chức thực hiện.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4. Gửi cho Văn phòng Sở, Phòng Quản lý Công nghiệp thuộc Sở Công Thương tỉnh Lào Cai để biết và phối hợp thực hiện./.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i/>
                <w:sz w:val="24"/>
              </w:rPr>
              <w:t xml:space="preserve">Nơi nhận:</w:t>
            </w:r>
          </w:p>
          <w:p>
            <w:pPr>
              <w:spacing w:after="0" w:line="300" w:lineRule="exact"/>
              <w:jc w:val="center"/>
            </w:pPr>
            <w:r>
              <w:rPr>
                <w:rFonts w:ascii="Times New Roman" w:hAnsi="Times New Roman"/>
                <w:b w:val="0"/>
                <w:i w:val="0"/>
                <w:sz w:val="22"/>
              </w:rPr>
              <w:t xml:space="preserve">- Như Điều 3;</w:t>
            </w:r>
          </w:p>
          <w:p>
            <w:pPr>
              <w:spacing w:after="0" w:line="300" w:lineRule="exact"/>
              <w:jc w:val="center"/>
            </w:pPr>
            <w:r>
              <w:rPr>
                <w:rFonts w:ascii="Times New Roman" w:hAnsi="Times New Roman"/>
                <w:b w:val="0"/>
                <w:i w:val="0"/>
                <w:sz w:val="22"/>
              </w:rPr>
              <w:t xml:space="preserve">- UBND tỉnh (để báo cáo);</w:t>
            </w:r>
          </w:p>
          <w:p>
            <w:pPr>
              <w:spacing w:after="0" w:line="300" w:lineRule="exact"/>
              <w:jc w:val="center"/>
            </w:pPr>
            <w:r>
              <w:rPr>
                <w:rFonts w:ascii="Times New Roman" w:hAnsi="Times New Roman"/>
                <w:b w:val="0"/>
                <w:i w:val="0"/>
                <w:sz w:val="22"/>
              </w:rPr>
              <w:t xml:space="preserve">- Thanh tra tỉnh (để báo cáo);</w:t>
            </w:r>
          </w:p>
          <w:p>
            <w:pPr>
              <w:spacing w:after="0" w:line="300" w:lineRule="exact"/>
              <w:jc w:val="center"/>
            </w:pPr>
            <w:r>
              <w:rPr>
                <w:rFonts w:ascii="Times New Roman" w:hAnsi="Times New Roman"/>
                <w:b w:val="0"/>
                <w:i w:val="0"/>
                <w:sz w:val="22"/>
              </w:rPr>
              <w:t xml:space="preserve">- Lãnh đạo Sở;</w:t>
            </w:r>
          </w:p>
          <w:p>
            <w:pPr>
              <w:spacing w:after="0" w:line="300" w:lineRule="exact"/>
              <w:jc w:val="center"/>
            </w:pPr>
            <w:r>
              <w:rPr>
                <w:rFonts w:ascii="Times New Roman" w:hAnsi="Times New Roman"/>
                <w:b w:val="0"/>
                <w:i w:val="0"/>
                <w:sz w:val="22"/>
              </w:rPr>
              <w:t xml:space="preserve">- Lưu: VT, Hồ sơ(3).</w:t>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sz w:val="26"/>
              </w:rPr>
              <w:t xml:space="preserve">KT. GIÁM ĐỐC</w:t>
            </w:r>
          </w:p>
          <w:p>
            <w:pPr>
              <w:spacing w:after="0" w:line="300" w:lineRule="exact"/>
              <w:jc w:val="center"/>
            </w:pPr>
            <w:r>
              <w:rPr>
                <w:rFonts w:ascii="Times New Roman" w:hAnsi="Times New Roman"/>
                <w:b/>
                <w:sz w:val="26"/>
              </w:rPr>
              <w:t xml:space="preserve">PHÓ GIÁM ĐỐC</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Hoàng Văn Thuân</w:t>
            </w:r>
          </w:p>
        </w:tc>
      </w:tr>
    </w:tbl>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Quyết định đã giao trực tiếp cho ông (bà) ...................... - người đại diện theo pháp luật của Công ty Công nghiệp Hóa chất mỏ Tây Bắc bị xử phạt vào hồi ...... giờ ...... phút, ngày ...... /...... /2026.</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NGƯỜI NHẬN QUYẾT ĐỊNH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i/>
        </w:rPr>
      </w:r>
      <w:r>
        <w:rPr>
          <w:rFonts w:ascii="Times New Roman" w:hAnsi="Times New Roman"/>
          <w:szCs w:val="28"/>
          <w:lang w:val="nl-NL"/>
          <w:sz w:val="28"/>
          <w:i/>
        </w:rPr>
        <w:t xml:space="preserve">(Ký, ghi rõ họ và tên)</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