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498" w:type="dxa"/>
        <w:tblLook w:val="01E0" w:firstRow="1" w:lastRow="1" w:firstColumn="1" w:lastColumn="1" w:noHBand="0" w:noVBand="0"/>
      </w:tblPr>
      <w:tblGrid>
        <w:gridCol w:w="3686"/>
        <w:gridCol w:w="5812"/>
      </w:tblGrid>
      <w:tr w:rsidR="00E156F0" w:rsidRPr="002A49CB" w:rsidTr="00DD775A">
        <w:tc>
          <w:tcPr>
            <w:tcW w:w="3686" w:type="dxa"/>
            <w:shd w:val="clear" w:color="auto" w:fill="auto"/>
          </w:tcPr>
          <w:p w:rsidR="00E156F0" w:rsidRPr="00D76609" w:rsidRDefault="00E156F0" w:rsidP="00DD775A">
            <w:pPr>
              <w:jc w:val="center"/>
              <w:rPr>
                <w:rFonts w:eastAsia="SimSun"/>
                <w:sz w:val="26"/>
                <w:szCs w:val="26"/>
              </w:rPr>
            </w:pPr>
            <w:r>
              <w:rPr>
                <w:rFonts w:eastAsia="SimSun"/>
                <w:sz w:val="26"/>
                <w:szCs w:val="26"/>
              </w:rPr>
              <w:t xml:space="preserve">SỞ CÔNG THƯƠNG </w:t>
            </w:r>
          </w:p>
          <w:p w:rsidR="00E156F0" w:rsidRPr="00F26D45" w:rsidRDefault="00E156F0" w:rsidP="00DD775A">
            <w:pPr>
              <w:jc w:val="center"/>
              <w:rPr>
                <w:rFonts w:eastAsia="SimSun"/>
                <w:b/>
              </w:rPr>
            </w:pPr>
            <w:r>
              <w:rPr>
                <w:rFonts w:eastAsia="SimSun"/>
                <w:b/>
              </w:rPr>
              <w:t>PHÒNG QLCN</w:t>
            </w:r>
          </w:p>
          <w:p w:rsidR="00E156F0" w:rsidRPr="00A35C2D" w:rsidRDefault="00E156F0" w:rsidP="00DD775A">
            <w:pPr>
              <w:tabs>
                <w:tab w:val="left" w:pos="560"/>
              </w:tabs>
              <w:spacing w:before="120" w:after="120"/>
              <w:jc w:val="both"/>
              <w:rPr>
                <w:rFonts w:eastAsia="SimSun"/>
                <w:sz w:val="24"/>
              </w:rPr>
            </w:pPr>
            <w:r>
              <w:rPr>
                <w:rFonts w:eastAsia="SimSun"/>
                <w:noProof/>
                <w:sz w:val="26"/>
                <w:szCs w:val="26"/>
              </w:rPr>
              <mc:AlternateContent>
                <mc:Choice Requires="wps">
                  <w:drawing>
                    <wp:anchor distT="0" distB="0" distL="114300" distR="114300" simplePos="0" relativeHeight="251660288" behindDoc="0" locked="0" layoutInCell="1" allowOverlap="1" wp14:anchorId="7BD3403A" wp14:editId="7253D985">
                      <wp:simplePos x="0" y="0"/>
                      <wp:positionH relativeFrom="column">
                        <wp:posOffset>746125</wp:posOffset>
                      </wp:positionH>
                      <wp:positionV relativeFrom="paragraph">
                        <wp:posOffset>15545</wp:posOffset>
                      </wp:positionV>
                      <wp:extent cx="745490" cy="0"/>
                      <wp:effectExtent l="0" t="0" r="35560" b="19050"/>
                      <wp:wrapNone/>
                      <wp:docPr id="2" name="Line 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4549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07B4E3D" id="Line 17"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8.75pt,1.2pt" to="117.45pt,1.2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HMRV/EgIAACgEAAAOAAAAZHJzL2Uyb0RvYy54bWysU8GO2jAQvVfqP1i+QxIaWIgIqyqBXmiL tNsPMLZDrDq2ZRsCqvrvHRuC2PZSVc3BGXtmnt/MGy+fz51EJ26d0KrE2TjFiCuqmVCHEn973Yzm GDlPFCNSK17iC3f4efX+3bI3BZ/oVkvGLQIQ5YrelLj13hRJ4mjLO+LG2nAFzkbbjnjY2kPCLOkB vZPJJE1nSa8tM1ZT7hyc1lcnXkX8puHUf20axz2SJQZuPq42rvuwJqslKQ6WmFbQGw3yDyw6IhRc eoeqiSfoaMUfUJ2gVjvd+DHVXaKbRlAea4BqsvS3al5aYnisBZrjzL1N7v/B0i+nnUWClXiCkSId SLQViqPsKbSmN66AiErtbCiOntWL2Wr63SGlq5aoA48UXy8G8rKQkbxJCRtn4IJ9/1kziCFHr2Of zo3tAiR0AJ2jHJe7HPzsEYXDp3yaL0A0OrgSUgx5xjr/iesOBaPEEjhHXHLaOh94kGIICdcovRFS RrGlQn2JF9PJNCY4LQULzhDm7GFfSYtOJIxL/GJR4HkMs/qoWARrOWHrm+2JkFcbLpcq4EElQOdm XefhxyJdrOfreT7KJ7P1KE/revRxU+Wj2SZ7mtYf6qqqs5+BWpYXrWCMq8BumM0s/zvtb6/kOlX3 6by3IXmLHvsFZId/JB2lDOpd52Cv2WVnB4lhHGPw7emEeX/cg/34wFe/AAAA//8DAFBLAwQUAAYA CAAAACEACN2HTNsAAAAHAQAADwAAAGRycy9kb3ducmV2LnhtbEyOTU/DMBBE70j8B2uRuFSt07R8 hTgVAnLjQiniuo2XJCJep7HbBn49Cxc4Ps1o5uWr0XXqQENoPRuYzxJQxJW3LdcGNi/l9BpUiMgW O89k4JMCrIrTkxwz64/8TId1rJWMcMjQQBNjn2kdqoYchpnviSV794PDKDjU2g54lHHX6TRJLrXD luWhwZ7uG6o+1ntnIJSvtCu/JtUkeVvUntLdw9MjGnN+Nt7dgoo0xr8y/OiLOhTitPV7tkF1wvOr C6kaSJegJE8XyxtQ21/WRa7/+xffAAAA//8DAFBLAQItABQABgAIAAAAIQC2gziS/gAAAOEBAAAT AAAAAAAAAAAAAAAAAAAAAABbQ29udGVudF9UeXBlc10ueG1sUEsBAi0AFAAGAAgAAAAhADj9If/W AAAAlAEAAAsAAAAAAAAAAAAAAAAALwEAAF9yZWxzLy5yZWxzUEsBAi0AFAAGAAgAAAAhAEcxFX8S AgAAKAQAAA4AAAAAAAAAAAAAAAAALgIAAGRycy9lMm9Eb2MueG1sUEsBAi0AFAAGAAgAAAAhAAjd h0zbAAAABwEAAA8AAAAAAAAAAAAAAAAAbAQAAGRycy9kb3ducmV2LnhtbFBLBQYAAAAABAAEAPMA AAB0BQAAAAA= "/>
                  </w:pict>
                </mc:Fallback>
              </mc:AlternateContent>
            </w:r>
            <w:r>
              <w:rPr>
                <w:rFonts w:eastAsia="SimSun"/>
                <w:sz w:val="24"/>
                <w:szCs w:val="24"/>
              </w:rPr>
              <w:t>V/v tham gia ý kiến Hồ sơ đề xuất đầu tư dự án hạ tầng KCN Phú Xuân, xã Gia Phú</w:t>
            </w:r>
          </w:p>
        </w:tc>
        <w:tc>
          <w:tcPr>
            <w:tcW w:w="5812" w:type="dxa"/>
            <w:shd w:val="clear" w:color="auto" w:fill="auto"/>
          </w:tcPr>
          <w:p w:rsidR="00E156F0" w:rsidRPr="00D76609" w:rsidRDefault="00E156F0" w:rsidP="00DD775A">
            <w:pPr>
              <w:jc w:val="center"/>
              <w:rPr>
                <w:rFonts w:eastAsia="SimSun"/>
                <w:b/>
                <w:sz w:val="26"/>
                <w:szCs w:val="26"/>
              </w:rPr>
            </w:pPr>
            <w:r>
              <w:rPr>
                <w:rFonts w:eastAsia="SimSun"/>
                <w:b/>
                <w:sz w:val="26"/>
                <w:szCs w:val="26"/>
              </w:rPr>
              <w:t xml:space="preserve">CỘNG HÒA XÃ HỘI CHỦ NGHĨA VIỆT </w:t>
            </w:r>
            <w:smartTag w:uri="urn:schemas-microsoft-com:office:smarttags" w:element="country-region">
              <w:smartTag w:uri="urn:schemas-microsoft-com:office:smarttags" w:element="place">
                <w:r>
                  <w:rPr>
                    <w:rFonts w:eastAsia="SimSun"/>
                    <w:b/>
                    <w:sz w:val="26"/>
                    <w:szCs w:val="26"/>
                  </w:rPr>
                  <w:t>NAM</w:t>
                </w:r>
              </w:smartTag>
            </w:smartTag>
          </w:p>
          <w:p w:rsidR="00E156F0" w:rsidRPr="00D76609" w:rsidRDefault="00E156F0" w:rsidP="00DD775A">
            <w:pPr>
              <w:jc w:val="center"/>
              <w:rPr>
                <w:rFonts w:eastAsia="SimSun"/>
                <w:b/>
              </w:rPr>
            </w:pPr>
            <w:r>
              <w:rPr>
                <w:rFonts w:eastAsia="SimSun"/>
                <w:b/>
              </w:rPr>
              <w:t>Độc lập – Tự do – Hạnh phúc</w:t>
            </w:r>
          </w:p>
          <w:p w:rsidR="00E156F0" w:rsidRPr="002A49CB" w:rsidRDefault="00E156F0" w:rsidP="00DD775A">
            <w:pPr>
              <w:spacing w:before="120"/>
              <w:jc w:val="center"/>
              <w:rPr>
                <w:rFonts w:eastAsia="SimSun"/>
                <w:i/>
                <w:sz w:val="26"/>
                <w:szCs w:val="26"/>
              </w:rPr>
            </w:pPr>
            <w:r>
              <w:rPr>
                <w:rFonts w:eastAsia="SimSun"/>
                <w:noProof/>
              </w:rPr>
              <mc:AlternateContent>
                <mc:Choice Requires="wps">
                  <w:drawing>
                    <wp:anchor distT="0" distB="0" distL="114300" distR="114300" simplePos="0" relativeHeight="251659264" behindDoc="0" locked="0" layoutInCell="1" allowOverlap="1" wp14:anchorId="15CCA540" wp14:editId="66EC4B4F">
                      <wp:simplePos x="0" y="0"/>
                      <wp:positionH relativeFrom="column">
                        <wp:posOffset>704376</wp:posOffset>
                      </wp:positionH>
                      <wp:positionV relativeFrom="paragraph">
                        <wp:posOffset>29845</wp:posOffset>
                      </wp:positionV>
                      <wp:extent cx="2133600" cy="0"/>
                      <wp:effectExtent l="0" t="0" r="19050" b="19050"/>
                      <wp:wrapNone/>
                      <wp:docPr id="1"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336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7031839" id="Line 4"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5.45pt,2.35pt" to="223.45pt,2.3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3g31kEQIAACgEAAAOAAAAZHJzL2Uyb0RvYy54bWysU8GO2jAQvVfqP1i+QxIIFCLCqkqgl22L tNsPMLZDrDq2ZRsCqvrvHRuC2PZSVc3BGXtmnt/MG6+ezp1EJ26d0KrE2TjFiCuqmVCHEn973Y4W GDlPFCNSK17iC3f4af3+3ao3BZ/oVkvGLQIQ5YrelLj13hRJ4mjLO+LG2nAFzkbbjnjY2kPCLOkB vZPJJE3nSa8tM1ZT7hyc1lcnXkf8puHUf20axz2SJQZuPq42rvuwJusVKQ6WmFbQGw3yDyw6IhRc eoeqiSfoaMUfUJ2gVjvd+DHVXaKbRlAea4BqsvS3al5aYnisBZrjzL1N7v/B0i+nnUWCgXYYKdKB RM9CcZSHzvTGFRBQqZ0NtdGzejHPmn53SOmqJerAI8PXi4G0LGQkb1LCxhnA3/efNYMYcvQ6tunc 2C5AQgPQOapxuavBzx5ROJxk0+k8BdHo4EtIMSQa6/wnrjsUjBJL4ByByenZ+UCEFENIuEfprZAy ii0V6ku8nE1mMcFpKVhwhjBnD/tKWnQiYVziF6sCz2OY1UfFIljLCdvcbE+EvNpwuVQBD0oBOjfr Og8/lulys9gs8lE+mW9GeVrXo4/bKh/Nt9mHWT2tq6rOfgZqWV60gjGuArthNrP877S/vZLrVN2n 896G5C167BeQHf6RdNQyyHcdhL1ml50dNIZxjMG3pxPm/XEP9uMDX/8CAAD//wMAUEsDBBQABgAI AAAAIQC18XWP2gAAAAcBAAAPAAAAZHJzL2Rvd25yZXYueG1sTI7BTsMwEETvSPyDtUhcqtZuiVoI cSoE5MalBcR1myxJRLxOY7cNfD0LFzg+zWjmZevRdepIQ2g9W5jPDCji0lct1xZenovpNagQkSvs PJOFTwqwzs/PMkwrf+INHbexVjLCIUULTYx9qnUoG3IYZr4nluzdDw6j4FDrasCTjLtOL4xZaoct y0ODPd03VH5sD85CKF5pX3xNyol5u6o9LfYPT49o7eXFeHcLKtIY/8rwoy/qkIvTzh+4CqoTnpsb qVpIVqAkT5Kl8O6XdZ7p//75NwAAAP//AwBQSwECLQAUAAYACAAAACEAtoM4kv4AAADhAQAAEwAA AAAAAAAAAAAAAAAAAAAAW0NvbnRlbnRfVHlwZXNdLnhtbFBLAQItABQABgAIAAAAIQA4/SH/1gAA AJQBAAALAAAAAAAAAAAAAAAAAC8BAABfcmVscy8ucmVsc1BLAQItABQABgAIAAAAIQD3g31kEQIA ACgEAAAOAAAAAAAAAAAAAAAAAC4CAABkcnMvZTJvRG9jLnhtbFBLAQItABQABgAIAAAAIQC18XWP 2gAAAAcBAAAPAAAAAAAAAAAAAAAAAGsEAABkcnMvZG93bnJldi54bWxQSwUGAAAAAAQABADzAAAA cgUAAAAA "/>
                  </w:pict>
                </mc:Fallback>
              </mc:AlternateContent>
            </w:r>
            <w:r>
              <w:rPr>
                <w:rFonts w:eastAsia="SimSun"/>
                <w:i/>
              </w:rPr>
              <w:t xml:space="preserve"> Lào Cai, ngày 19 tháng 6 năm 2026</w:t>
            </w:r>
          </w:p>
        </w:tc>
      </w:tr>
    </w:tbl>
    <w:p w:rsidR="00F036D2" w:rsidRPr="00C76B4A" w:rsidRDefault="00A215F5">
      <w:pPr>
        <w:spacing w:before="240" w:after="200" w:line="300" w:lineRule="auto"/>
        <w:jc w:val="center"/>
      </w:pPr>
      <w:r w:rsidRPr="00C76B4A">
        <w:rPr>
          <w:bCs/>
        </w:rPr>
        <w:t>Kính</w:t>
      </w:r>
      <w:r w:rsidR="00C76B4A">
        <w:rPr>
          <w:bCs/>
        </w:rPr>
        <w:t xml:space="preserve"> gửi: Phòng Kế hoạch - Tổng hợp</w:t>
      </w:r>
    </w:p>
    <w:p w:rsidR="00893FE1" w:rsidRDefault="00C76B4A">
      <w:pPr>
        <w:spacing w:after="120"/>
        <w:ind w:firstLine="567"/>
        <w:jc w:val="both"/>
      </w:pPr>
      <w:r>
        <w:t>Phòng Quản lý công nghiệp nhận được Văn bản số 858/BQL-QHXD ngày 18/6/2026 của Ban Quản lý Khu kinh tế tỉnh Lào Cai về việc tham gia ý kiến đối với Hồ sơ đề xuất đầu tư dự án Đầu tư xây dựng và kinh doanh kết cấu hạ tầng Khu công nghiệp Phú Xuân, xã Gia Phú do Công ty Cổ phần Công nghiệp Linh Linh đề xuất (mã hồ sơ H38.20-260618-0002).</w:t>
      </w:r>
    </w:p>
    <w:p w:rsidR="00893FE1" w:rsidRDefault="00C76B4A">
      <w:pPr>
        <w:spacing w:after="120"/>
        <w:ind w:firstLine="567"/>
        <w:jc w:val="both"/>
      </w:pPr>
      <w:r>
        <w:t>Sau khi nghiên cứu hồ sơ, Phòng Quản lý công nghiệp có ý kiến tham gia như sau:</w:t>
      </w:r>
    </w:p>
    <w:p w:rsidR="00893FE1" w:rsidRPr="00C76B4A" w:rsidRDefault="00C76B4A">
      <w:pPr>
        <w:spacing w:after="120"/>
        <w:ind w:firstLine="567"/>
        <w:jc w:val="both"/>
        <w:rPr>
          <w:spacing w:val="-8"/>
        </w:rPr>
      </w:pPr>
      <w:r w:rsidRPr="00C76B4A">
        <w:rPr>
          <w:b/>
          <w:bCs/>
          <w:spacing w:val="-8"/>
        </w:rPr>
        <w:t>1. Về sự phù hợp của dự án với quy hoạch, định hướng phát triển công nghiệp</w:t>
      </w:r>
    </w:p>
    <w:p w:rsidR="00893FE1" w:rsidRDefault="00C76B4A">
      <w:pPr>
        <w:spacing w:after="120"/>
        <w:ind w:firstLine="567"/>
        <w:jc w:val="both"/>
      </w:pPr>
      <w:r>
        <w:rPr>
          <w:i/>
          <w:iCs/>
        </w:rPr>
        <w:t xml:space="preserve">a) Phù hợp với Quy hoạch tỉnh, quy hoạch phân khu và danh mục thu hút đầu tư: </w:t>
      </w:r>
      <w:r>
        <w:t>Dự án phù hợp với phương án phát triển các khu công nghiệp tại Điều chỉnh Quy hoạch tỉnh Lào Cai thời kỳ 2021 - 2030, tầm nhìn đến năm 2050 được phê duyệt tại Quyết định số 525/QĐ-UBND ngày 25/02/2026 của UBND tỉnh. Theo đó, Khu công nghiệp Phú Xuân, xã Gia Phú, diện tích 300 ha (Phụ lục II), đã được điều chỉnh tiến độ thực hiện từ giai đoạn sau năm 2030 lên giai đoạn 2026 - 2030. Dự án cũng nằm trong Danh mục dự án thu hút đầu tư trên địa bàn tỉnh giai đoạn 2026 - 2030 được phê duyệt tại Quyết định số 1382/QĐ-UBND ngày 23/4/2026 của UBND tỉnh, với hình thức lựa chọn nhà đầu tư là chấp thuận nhà đầu tư. Về quy hoạch phân khu, Đồ án Quy hoạch phân khu Khu công nghiệp Phú Xuân đã được Ban Quản lý Khu kinh tế tỉnh phê duyệt tại Quyết định số 95/QĐ-BQL ngày 18/6/2026; Sở Xây dựng đã có ý kiến thống nhất tại Văn bản số 3695/SXD-QHKT ngày 18/6/2026.</w:t>
      </w:r>
    </w:p>
    <w:p w:rsidR="00893FE1" w:rsidRDefault="00C76B4A">
      <w:pPr>
        <w:spacing w:after="120"/>
        <w:ind w:firstLine="567"/>
        <w:jc w:val="both"/>
      </w:pPr>
      <w:r>
        <w:rPr>
          <w:i/>
          <w:iCs/>
        </w:rPr>
        <w:t xml:space="preserve">b) Phù hợp với định hướng phát triển công nghiệp của tỉnh: </w:t>
      </w:r>
      <w:r>
        <w:t>Định hướng thu hút đầu tư của dự án (công nghiệp xanh, sạch, hiện đại; ưu tiên công nghệ cao, chế biến sâu, công nghiệp hỗ trợ, logistics) cơ bản phù hợp với chủ trương phát triển khu công nghiệp, cụm công nghiệp và phát triển công nghiệp theo hướng xanh, hiện đại của tỉnh tại Nghị quyết số 34-NQ/TU ngày 27/12/2025 của Ban Thường vụ Tỉnh ủy, Kế hoạch số 134/KH-UBND ngày 26/3/2026 của UBND tỉnh và Đề án số 08-ĐA/TU của Tỉnh ủy về phát triển công nghiệp tỉnh Lào Cai theo hướng xanh, hiện đại giai đoạn 2026 - 2030.</w:t>
      </w:r>
    </w:p>
    <w:p w:rsidR="00893FE1" w:rsidRDefault="00C76B4A">
      <w:pPr>
        <w:spacing w:after="120"/>
        <w:ind w:firstLine="567"/>
        <w:jc w:val="both"/>
      </w:pPr>
      <w:r>
        <w:t>Trên cơ sở đó, Phòng Quản lý công nghiệp cơ bản thống nhất với chủ trương đầu tư dự án theo đề xuất của nhà đầu tư.</w:t>
      </w:r>
    </w:p>
    <w:p w:rsidR="00893FE1" w:rsidRDefault="00C76B4A">
      <w:pPr>
        <w:spacing w:after="120"/>
        <w:ind w:firstLine="567"/>
        <w:jc w:val="both"/>
      </w:pPr>
      <w:r>
        <w:rPr>
          <w:b/>
          <w:bCs/>
        </w:rPr>
        <w:t>2. Một số nội dung đề nghị làm rõ, bổ sung và lưu ý</w:t>
      </w:r>
    </w:p>
    <w:p w:rsidR="00893FE1" w:rsidRDefault="00C76B4A">
      <w:pPr>
        <w:spacing w:after="120"/>
        <w:ind w:firstLine="567"/>
        <w:jc w:val="both"/>
      </w:pPr>
      <w:r>
        <w:rPr>
          <w:i/>
          <w:iCs/>
        </w:rPr>
        <w:t xml:space="preserve">a) Về danh mục ngành, nghề thu hút đầu tư và loại hình khu công nghiệp: </w:t>
      </w:r>
      <w:r>
        <w:t xml:space="preserve">Hồ sơ mới nêu định hướng chung theo mô hình “đa ngành”, chưa xác định cụ thể danh mục ngành, nghề thu hút đầu tư và loại hình khu công nghiệp. Đề nghị Ban </w:t>
      </w:r>
      <w:r>
        <w:lastRenderedPageBreak/>
        <w:t>Quản lý Khu kinh tế tỉnh yêu cầu nhà đầu tư bổ sung, làm rõ danh mục ngành, nghề thu hút đầu tư theo Hệ thống ngành kinh tế Việt Nam (VSIC) và xác định loại hình khu công nghiệp (khu công nghiệp, khu công nghiệp hỗ trợ, khu công nghiệp chuyên ngành, khu công nghiệp sinh thái...) theo Nghị định số 35/2022/NĐ-CP ngày 28/5/2022 của Chính phủ, bảo đảm: không thu hút các ngành, nghề thuộc danh mục ngành, nghề cấm hoặc hạn chế đầu tư; không thu hút các loại hình sản xuất có nguy cơ gây ô nhiễm môi trường cao, không phù hợp với định hướng khu công nghiệp xanh, sạch, hiện đại; làm rõ phạm vi, quy mô và công nghệ áp dụng đối với nhóm “chế biến sâu khoáng sản” nhằm kiểm soát nguy cơ phát thải, bảo đảm phù hợp với chủ trương của tỉnh.</w:t>
      </w:r>
    </w:p>
    <w:p w:rsidR="00893FE1" w:rsidRDefault="00C76B4A">
      <w:pPr>
        <w:spacing w:after="120"/>
        <w:ind w:firstLine="567"/>
        <w:jc w:val="both"/>
      </w:pPr>
      <w:r>
        <w:rPr>
          <w:i/>
          <w:iCs/>
        </w:rPr>
        <w:t xml:space="preserve">b) Về hệ thống xử lý nước thải tập trung: </w:t>
      </w:r>
      <w:r>
        <w:t>Theo quy định tại Nghị định số 35/2022/NĐ-CP ngày 28/5/2022 của Chính phủ quy định về quản lý khu công nghiệp và khu kinh tế, khu công nghiệp phải có hệ thống xử lý nước thải tập trung. Hồ sơ đã đề xuất trạm xử lý nước thải tập trung công suất 14.100 m³/ngày đêm. Tuy nhiên, hồ sơ đang viện dẫn QCVN 40:2011/BTNMT - Quy chuẩn kỹ thuật quốc gia về nước thải công nghiệp, trong khi quy chuẩn này đã được thay thế bởi QCVN 40:2025/BTNMT ban hành kèm theo Thông tư số 06/2025/TT-BTNMT ngày 28/02/2025 của Bộ Tài nguyên và Môi trường, có hiệu lực thi hành từ ngày 01/9/2025; đề nghị cập nhật quy chuẩn áp dụng theo quy định hiện hành. Bên cạnh đó, số liệu khối lượng nước thải trong hồ sơ chưa thống nhất (có nội dung nêu khoảng 14.033 m³/ngày đêm, có nội dung nêu khoảng 6.000 m³/ngày đêm); đề nghị rà soát, chuẩn xác số liệu khối lượng nước thải phát sinh và công suất trạm xử lý cho phù hợp, thống nhất giữa các phần của hồ sơ. Nội dung đánh giá tác động môi trường, giấy phép môi trường và quy chuẩn môi trường áp dụng thuộc thẩm quyền tham gia ý kiến của Sở Nông nghiệp và Môi trường.</w:t>
      </w:r>
    </w:p>
    <w:p w:rsidR="00893FE1" w:rsidRDefault="00C76B4A">
      <w:pPr>
        <w:spacing w:after="120"/>
        <w:ind w:firstLine="567"/>
        <w:jc w:val="both"/>
      </w:pPr>
      <w:r>
        <w:rPr>
          <w:i/>
          <w:iCs/>
        </w:rPr>
        <w:t xml:space="preserve">c) Về quỹ đất ở, công trình dịch vụ, tiện ích cho người lao động và nhu cầu lao động: </w:t>
      </w:r>
      <w:r>
        <w:t>Khu công nghiệp Phú Xuân có quy mô 300 ha. Theo quy định tại Nghị định số 35/2022/NĐ-CP ngày 28/5/2022 của Chính phủ, đối với khu công nghiệp có quy mô từ 200 ha trở lên, chủ đầu tư phải bố trí đủ diện tích đất để xây dựng nhà ở, công trình dịch vụ, tiện ích công cộng cho người lao động. Đề nghị nhà đầu tư làm rõ trong hồ sơ phương án bố trí quỹ đất nêu trên; đồng thời đánh giá nhu cầu sử dụng lao động của dự án và khả năng đáp ứng nguồn lao động trên địa bàn, bảo đảm tính khả thi khi triển khai và thu hút các dự án thứ cấp.</w:t>
      </w:r>
    </w:p>
    <w:p w:rsidR="00893FE1" w:rsidRDefault="00C76B4A">
      <w:pPr>
        <w:spacing w:after="120"/>
        <w:ind w:firstLine="567"/>
        <w:jc w:val="both"/>
      </w:pPr>
      <w:r>
        <w:rPr>
          <w:b/>
          <w:bCs/>
        </w:rPr>
        <w:t>3. Kết luận</w:t>
      </w:r>
      <w:bookmarkStart w:id="0" w:name="_GoBack"/>
      <w:bookmarkEnd w:id="0"/>
    </w:p>
    <w:p w:rsidR="00893FE1" w:rsidRDefault="00C76B4A">
      <w:pPr>
        <w:spacing w:after="120"/>
        <w:ind w:firstLine="567"/>
        <w:jc w:val="both"/>
      </w:pPr>
      <w:r>
        <w:t>Phòng Quản lý công nghiệp cơ bản nhất trí với chủ trương đầu tư dự án; đề nghị Phòng Kế hoạch - Tổng hợp nghiên cứu, tổng hợp./.</w:t>
      </w:r>
    </w:p>
    <w:p w:rsidR="00F036D2" w:rsidRPr="00E457FB" w:rsidRDefault="00F036D2">
      <w:pPr>
        <w:rPr>
          <w:sz w:val="2"/>
        </w:rPr>
      </w:pPr>
    </w:p>
    <w:tbl>
      <w:tblPr>
        <w:tblW w:w="9360" w:type="dxa"/>
        <w:tblCellMar>
          <w:left w:w="10" w:type="dxa"/>
          <w:right w:w="10" w:type="dxa"/>
        </w:tblCellMar>
        <w:tblLook w:val="0000" w:firstRow="0" w:lastRow="0" w:firstColumn="0" w:lastColumn="0" w:noHBand="0" w:noVBand="0"/>
      </w:tblPr>
      <w:tblGrid>
        <w:gridCol w:w="4680"/>
        <w:gridCol w:w="4680"/>
      </w:tblGrid>
      <w:tr w:rsidR="00F036D2" w:rsidTr="00C76B4A">
        <w:tc>
          <w:tcPr>
            <w:tcW w:w="4680" w:type="dxa"/>
            <w:tcMar>
              <w:top w:w="80" w:type="dxa"/>
              <w:left w:w="0" w:type="dxa"/>
              <w:bottom w:w="0" w:type="dxa"/>
              <w:right w:w="0" w:type="dxa"/>
            </w:tcMar>
          </w:tcPr>
          <w:p w:rsidR="00F036D2" w:rsidRPr="00F020AC" w:rsidRDefault="00A215F5">
            <w:pPr>
              <w:rPr>
                <w:b/>
              </w:rPr>
            </w:pPr>
            <w:r>
              <w:rPr>
                <w:b/>
                <w:i/>
                <w:iCs/>
                <w:sz w:val="24"/>
                <w:szCs w:val="24"/>
              </w:rPr>
              <w:t>Nơi nhận:</w:t>
            </w:r>
          </w:p>
          <w:p w:rsidR="00F036D2" w:rsidRPr="00F020AC" w:rsidRDefault="00A215F5">
            <w:pPr>
              <w:rPr>
                <w:sz w:val="22"/>
                <w:szCs w:val="22"/>
              </w:rPr>
            </w:pPr>
            <w:r>
              <w:rPr>
                <w:sz w:val="22"/>
                <w:szCs w:val="22"/>
              </w:rPr>
              <w:t>- Như trên;</w:t>
            </w:r>
          </w:p>
          <w:p w:rsidR="00F036D2" w:rsidRPr="00F020AC" w:rsidRDefault="00A215F5">
            <w:pPr>
              <w:rPr>
                <w:sz w:val="22"/>
                <w:szCs w:val="22"/>
              </w:rPr>
            </w:pPr>
            <w:r>
              <w:rPr>
                <w:sz w:val="22"/>
                <w:szCs w:val="22"/>
              </w:rPr>
              <w:t>- Ban Giám đốc Sở;</w:t>
            </w:r>
          </w:p>
          <w:p w:rsidR="00F036D2" w:rsidRDefault="00A215F5" w:rsidP="00E156F0">
            <w:r>
              <w:rPr>
                <w:sz w:val="22"/>
                <w:szCs w:val="22"/>
              </w:rPr>
              <w:t xml:space="preserve">- Lưu: CN </w:t>
            </w:r>
            <w:r>
              <w:rPr>
                <w:sz w:val="22"/>
                <w:szCs w:val="22"/>
                <w:vertAlign w:val="subscript"/>
              </w:rPr>
              <w:t>(Trung).</w:t>
            </w:r>
          </w:p>
        </w:tc>
        <w:tc>
          <w:tcPr>
            <w:tcW w:w="4680" w:type="dxa"/>
            <w:tcMar>
              <w:top w:w="80" w:type="dxa"/>
              <w:left w:w="0" w:type="dxa"/>
              <w:bottom w:w="0" w:type="dxa"/>
              <w:right w:w="0" w:type="dxa"/>
            </w:tcMar>
          </w:tcPr>
          <w:p w:rsidR="00F036D2" w:rsidRDefault="00B23EE2">
            <w:pPr>
              <w:spacing w:line="276" w:lineRule="auto"/>
              <w:jc w:val="center"/>
              <w:rPr>
                <w:b/>
                <w:bCs/>
              </w:rPr>
            </w:pPr>
            <w:r>
              <w:rPr>
                <w:b/>
                <w:bCs/>
              </w:rPr>
              <w:t xml:space="preserve">PHÓ </w:t>
            </w:r>
            <w:r w:rsidR="00A215F5">
              <w:rPr>
                <w:b/>
                <w:bCs/>
              </w:rPr>
              <w:t>TRƯỞNG PHÒNG</w:t>
            </w:r>
          </w:p>
          <w:p w:rsidR="00C76B4A" w:rsidRDefault="00C76B4A">
            <w:pPr>
              <w:spacing w:line="276" w:lineRule="auto"/>
              <w:jc w:val="center"/>
              <w:rPr>
                <w:b/>
                <w:bCs/>
              </w:rPr>
            </w:pPr>
          </w:p>
          <w:p w:rsidR="00C76B4A" w:rsidRDefault="00C76B4A">
            <w:pPr>
              <w:spacing w:line="276" w:lineRule="auto"/>
              <w:jc w:val="center"/>
            </w:pPr>
          </w:p>
          <w:p w:rsidR="00B23EE2" w:rsidRDefault="00B23EE2" w:rsidP="00B23EE2">
            <w:pPr>
              <w:jc w:val="center"/>
              <w:rPr>
                <w:b/>
                <w:bCs/>
              </w:rPr>
            </w:pPr>
          </w:p>
          <w:p w:rsidR="00B23EE2" w:rsidRDefault="00B23EE2" w:rsidP="00B23EE2">
            <w:pPr>
              <w:jc w:val="center"/>
              <w:rPr>
                <w:b/>
                <w:bCs/>
              </w:rPr>
            </w:pPr>
          </w:p>
          <w:p w:rsidR="00F036D2" w:rsidRDefault="00B23EE2" w:rsidP="00B23EE2">
            <w:pPr>
              <w:jc w:val="center"/>
            </w:pPr>
            <w:r>
              <w:rPr>
                <w:b/>
                <w:bCs/>
              </w:rPr>
              <w:t>Trần Trọng Trang</w:t>
            </w:r>
          </w:p>
        </w:tc>
      </w:tr>
    </w:tbl>
    <w:p w:rsidR="00A215F5" w:rsidRDefault="00A215F5" w:rsidP="00C76B4A"/>
    <w:sectPr w:rsidR="00A215F5" w:rsidSect="00C76B4A">
      <w:pgSz w:w="11906" w:h="16838"/>
      <w:pgMar w:top="1134" w:right="1134" w:bottom="993" w:left="1701"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699241F"/>
    <w:multiLevelType w:val="hybridMultilevel"/>
    <w:tmpl w:val="EB8841DA"/>
    <w:lvl w:ilvl="0" w:tplc="B75E4A0E">
      <w:start w:val="1"/>
      <w:numFmt w:val="bullet"/>
      <w:lvlText w:val="●"/>
      <w:lvlJc w:val="left"/>
      <w:pPr>
        <w:ind w:left="720" w:hanging="360"/>
      </w:pPr>
    </w:lvl>
    <w:lvl w:ilvl="1" w:tplc="92F65314">
      <w:start w:val="1"/>
      <w:numFmt w:val="bullet"/>
      <w:lvlText w:val="○"/>
      <w:lvlJc w:val="left"/>
      <w:pPr>
        <w:ind w:left="1440" w:hanging="360"/>
      </w:pPr>
    </w:lvl>
    <w:lvl w:ilvl="2" w:tplc="7556CBEA">
      <w:start w:val="1"/>
      <w:numFmt w:val="bullet"/>
      <w:lvlText w:val="■"/>
      <w:lvlJc w:val="left"/>
      <w:pPr>
        <w:ind w:left="2160" w:hanging="360"/>
      </w:pPr>
    </w:lvl>
    <w:lvl w:ilvl="3" w:tplc="89CCF3A2">
      <w:start w:val="1"/>
      <w:numFmt w:val="bullet"/>
      <w:lvlText w:val="●"/>
      <w:lvlJc w:val="left"/>
      <w:pPr>
        <w:ind w:left="2880" w:hanging="360"/>
      </w:pPr>
    </w:lvl>
    <w:lvl w:ilvl="4" w:tplc="1E9CAEA0">
      <w:start w:val="1"/>
      <w:numFmt w:val="bullet"/>
      <w:lvlText w:val="○"/>
      <w:lvlJc w:val="left"/>
      <w:pPr>
        <w:ind w:left="3600" w:hanging="360"/>
      </w:pPr>
    </w:lvl>
    <w:lvl w:ilvl="5" w:tplc="B62AD802">
      <w:start w:val="1"/>
      <w:numFmt w:val="bullet"/>
      <w:lvlText w:val="■"/>
      <w:lvlJc w:val="left"/>
      <w:pPr>
        <w:ind w:left="4320" w:hanging="360"/>
      </w:pPr>
    </w:lvl>
    <w:lvl w:ilvl="6" w:tplc="4DA2B3F0">
      <w:start w:val="1"/>
      <w:numFmt w:val="bullet"/>
      <w:lvlText w:val="●"/>
      <w:lvlJc w:val="left"/>
      <w:pPr>
        <w:ind w:left="5040" w:hanging="360"/>
      </w:pPr>
    </w:lvl>
    <w:lvl w:ilvl="7" w:tplc="95A4543C">
      <w:start w:val="1"/>
      <w:numFmt w:val="bullet"/>
      <w:lvlText w:val="●"/>
      <w:lvlJc w:val="left"/>
      <w:pPr>
        <w:ind w:left="5760" w:hanging="360"/>
      </w:pPr>
    </w:lvl>
    <w:lvl w:ilvl="8" w:tplc="16B2F85C">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036D2"/>
    <w:rsid w:val="00893FE1"/>
    <w:rsid w:val="00A215F5"/>
    <w:rsid w:val="00B23EE2"/>
    <w:rsid w:val="00C76B4A"/>
    <w:rsid w:val="00E156F0"/>
    <w:rsid w:val="00E457FB"/>
    <w:rsid w:val="00F020AC"/>
    <w:rsid w:val="00F036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ountry-region"/>
  <w:smartTagType w:namespaceuri="urn:schemas-microsoft-com:office:smarttags" w:name="place"/>
  <w:shapeDefaults>
    <o:shapedefaults v:ext="edit" spidmax="1026"/>
    <o:shapelayout v:ext="edit">
      <o:idmap v:ext="edit" data="1"/>
    </o:shapelayout>
  </w:shapeDefaults>
  <w:decimalSymbol w:val="."/>
  <w:listSeparator w:val=","/>
  <w14:docId w14:val="2A30C4AA"/>
  <w15:docId w15:val="{CBA2CCCB-C142-4FA5-AE2D-DDBE3B4779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8"/>
        <w:szCs w:val="28"/>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BalloonText">
    <w:name w:val="Balloon Text"/>
    <w:basedOn w:val="Normal"/>
    <w:link w:val="BalloonTextChar"/>
    <w:uiPriority w:val="99"/>
    <w:semiHidden/>
    <w:unhideWhenUsed/>
    <w:rsid w:val="00B23EE2"/>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23EE2"/>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Pages>
  <Words>800</Words>
  <Characters>4564</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ADMIN</cp:lastModifiedBy>
  <cp:revision>6</cp:revision>
  <cp:lastPrinted>2026-06-19T23:56:00Z</cp:lastPrinted>
  <dcterms:created xsi:type="dcterms:W3CDTF">2026-06-19T05:21:00Z</dcterms:created>
  <dcterms:modified xsi:type="dcterms:W3CDTF">2026-06-19T23:58:00Z</dcterms:modified>
</cp:coreProperties>
</file>