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120" w:after="120"/>
        <w:jc w:val="center"/>
      </w:pPr>
      <w:r>
        <w:rPr>
          <w:rFonts w:ascii="Times New Roman" w:hAnsi="Times New Roman" w:cs="Times New Roman"/>
          <w:b/>
          <w:i w:val="0"/>
          <w:sz w:val="30"/>
        </w:rPr>
        <w:t>BÀI PHÁT BIỂU TÓM TẮT</w:t>
      </w:r>
    </w:p>
    <w:p>
      <w:pPr>
        <w:spacing w:line="240" w:lineRule="auto" w:before="120" w:after="120"/>
        <w:jc w:val="center"/>
      </w:pPr>
      <w:r>
        <w:rPr>
          <w:rFonts w:ascii="Times New Roman" w:hAnsi="Times New Roman" w:cs="Times New Roman"/>
          <w:b/>
          <w:i w:val="0"/>
          <w:sz w:val="30"/>
        </w:rPr>
        <w:t>của Giám đốc Sở Công Thương tại cuộc họp của UBND tỉnh về tình hình triển khai các cụm công nghiệp trên địa bàn tỉnh</w:t>
      </w:r>
    </w:p>
    <w:p>
      <w:pPr>
        <w:spacing w:line="240" w:lineRule="auto" w:before="120" w:after="120"/>
        <w:jc w:val="center"/>
      </w:pPr>
      <w:r>
        <w:rPr>
          <w:rFonts w:ascii="Times New Roman" w:hAnsi="Times New Roman" w:cs="Times New Roman"/>
          <w:b/>
          <w:i w:val="0"/>
          <w:sz w:val="30"/>
        </w:rPr>
        <w:t>(Ngày 06 tháng 10 năm 2026)</w:t>
      </w:r>
    </w:p>
    <w:p>
      <w:pPr>
        <w:spacing w:line="240" w:lineRule="auto" w:before="120" w:after="120"/>
      </w:pPr>
    </w:p>
    <w:p>
      <w:pPr>
        <w:spacing w:line="240" w:lineRule="auto" w:before="120" w:after="120"/>
        <w:ind w:firstLine="720"/>
        <w:jc w:val="both"/>
      </w:pPr>
      <w:r>
        <w:rPr>
          <w:rFonts w:ascii="Times New Roman" w:hAnsi="Times New Roman" w:cs="Times New Roman"/>
          <w:b/>
          <w:i w:val="0"/>
          <w:sz w:val="30"/>
        </w:rPr>
        <w:t>Kính thưa:</w:t>
      </w:r>
    </w:p>
    <w:p>
      <w:pPr>
        <w:spacing w:line="240" w:lineRule="auto" w:before="120" w:after="120"/>
        <w:ind w:left="720"/>
        <w:jc w:val="both"/>
      </w:pPr>
      <w:r>
        <w:rPr>
          <w:rFonts w:ascii="Times New Roman" w:hAnsi="Times New Roman" w:cs="Times New Roman"/>
          <w:b w:val="0"/>
          <w:i/>
          <w:sz w:val="30"/>
        </w:rPr>
        <w:t>- Đồng chí Nguyễn Tuấn Anh, Chủ tịch Ủy ban nhân dân tỉnh;</w:t>
      </w:r>
    </w:p>
    <w:p>
      <w:pPr>
        <w:spacing w:line="240" w:lineRule="auto" w:before="120" w:after="120"/>
        <w:ind w:left="720"/>
        <w:jc w:val="both"/>
      </w:pPr>
      <w:r>
        <w:rPr>
          <w:rFonts w:ascii="Times New Roman" w:hAnsi="Times New Roman" w:cs="Times New Roman"/>
          <w:b w:val="0"/>
          <w:i/>
          <w:sz w:val="30"/>
        </w:rPr>
        <w:t>- Đồng chí Ngô Hạnh Phúc, Phó Chủ tịch Thường trực Ủy ban nhân dân tỉnh;</w:t>
      </w:r>
    </w:p>
    <w:p>
      <w:pPr>
        <w:spacing w:line="240" w:lineRule="auto" w:before="120" w:after="120"/>
        <w:ind w:left="720"/>
        <w:jc w:val="both"/>
      </w:pPr>
      <w:r>
        <w:rPr>
          <w:rFonts w:ascii="Times New Roman" w:hAnsi="Times New Roman" w:cs="Times New Roman"/>
          <w:b w:val="0"/>
          <w:i/>
          <w:sz w:val="30"/>
        </w:rPr>
        <w:t>- Đồng chí Nguyễn Thành Sinh, Phó Chủ tịch Ủy ban nhân dân tỉnh;</w:t>
      </w:r>
    </w:p>
    <w:p>
      <w:pPr>
        <w:spacing w:line="240" w:lineRule="auto" w:before="120" w:after="120"/>
        <w:ind w:left="720"/>
        <w:jc w:val="both"/>
      </w:pPr>
      <w:r>
        <w:rPr>
          <w:rFonts w:ascii="Times New Roman" w:hAnsi="Times New Roman" w:cs="Times New Roman"/>
          <w:b w:val="0"/>
          <w:i/>
          <w:sz w:val="30"/>
        </w:rPr>
        <w:t>- Các đồng chí lãnh đạo các sở, ngành, Trung tâm Phát triển quỹ đất tỉnh và Ủy ban nhân dân các xã, phường.</w:t>
      </w:r>
    </w:p>
    <w:p>
      <w:pPr>
        <w:spacing w:line="240" w:lineRule="auto" w:before="120" w:after="120"/>
        <w:ind w:firstLine="720"/>
        <w:jc w:val="both"/>
      </w:pPr>
      <w:r>
        <w:rPr>
          <w:rFonts w:ascii="Times New Roman" w:hAnsi="Times New Roman" w:cs="Times New Roman"/>
          <w:b w:val="0"/>
          <w:i w:val="0"/>
          <w:sz w:val="30"/>
        </w:rPr>
        <w:t>Sở Công Thương đã gửi Báo cáo đầy đủ về tình hình triển khai các cụm công nghiệp đến ngày 05/10/2026 tới Văn phòng Ủy ban nhân dân tỉnh. Tại cuộc họp này, tôi xin báo cáo tóm tắt bốn nội dung: tình hình chung, kết quả và vướng mắc của từng nhóm cụm, nguyên nhân chậm trễ và những việc đề nghị Ủy ban nhân dân tỉnh chỉ đạo.</w:t>
      </w:r>
    </w:p>
    <w:p>
      <w:pPr>
        <w:spacing w:line="240" w:lineRule="auto" w:before="120" w:after="120"/>
        <w:ind w:firstLine="720"/>
        <w:jc w:val="both"/>
      </w:pPr>
      <w:r>
        <w:rPr>
          <w:rFonts w:ascii="Times New Roman" w:hAnsi="Times New Roman" w:cs="Times New Roman"/>
          <w:b/>
          <w:i w:val="0"/>
          <w:sz w:val="30"/>
        </w:rPr>
        <w:t>1. Về tình hình chung</w:t>
      </w:r>
    </w:p>
    <w:p>
      <w:pPr>
        <w:spacing w:line="240" w:lineRule="auto" w:before="120" w:after="120"/>
        <w:ind w:firstLine="720"/>
        <w:jc w:val="both"/>
      </w:pPr>
      <w:r>
        <w:rPr>
          <w:rFonts w:ascii="Times New Roman" w:hAnsi="Times New Roman" w:cs="Times New Roman"/>
          <w:b w:val="0"/>
          <w:i w:val="0"/>
          <w:sz w:val="30"/>
        </w:rPr>
        <w:t>Theo Quy hoạch tỉnh, toàn tỉnh có 56 cụm công nghiệp với hơn 3.000 ha. Đến nay đã hình thành 25 cụm, gần 1.030 ha; đất công nghiệp 755,81 ha, đã cho thuê 203,76 ha; tỷ lệ lấp đầy bình quân 26,96%. Tỷ lệ này thấp vì 09 cụm do doanh nghiệp làm chủ đầu tư, chiếm gần 60% quỹ đất công nghiệp, vẫn đang giải phóng mặt bằng, chưa có đất cho thuê. Các cụm hiện có 232 dự án, cơ sở sản xuất thứ cấp.</w:t>
      </w:r>
    </w:p>
    <w:p>
      <w:pPr>
        <w:spacing w:line="240" w:lineRule="auto" w:before="120" w:after="120"/>
        <w:ind w:firstLine="720"/>
        <w:jc w:val="both"/>
      </w:pPr>
      <w:r>
        <w:rPr>
          <w:rFonts w:ascii="Times New Roman" w:hAnsi="Times New Roman" w:cs="Times New Roman"/>
          <w:b w:val="0"/>
          <w:i w:val="0"/>
          <w:sz w:val="30"/>
        </w:rPr>
        <w:t>09 cụm do doanh nghiệp làm chủ đầu tư có tổng diện tích 634,95 ha, tổng mức đầu tư 5.158,58 tỷ đồng; mới khởi công được 02 cụm là Thống Nhất 1 và Phú Thịnh 3, 07 cụm còn lại chưa thi công hạ tầng. Khi 09 cụm này lấp đầy sẽ tạo khoảng 12.700 việc làm, giá trị sản xuất công nghiệp khoảng 6.500 tỷ đồng mỗi năm, nộp ngân sách khoảng 130 tỷ đồng mỗi năm. Mục tiêu Sở đề ra là trong năm 2027 đưa Thống Nhất 1, Phú Thịnh 2, Phú Thịnh 3, Minh Quân vào hoạt động; các cụm còn lại khởi công xong trước Quý II/2027.</w:t>
      </w:r>
    </w:p>
    <w:p>
      <w:pPr>
        <w:spacing w:line="240" w:lineRule="auto" w:before="120" w:after="120"/>
        <w:ind w:firstLine="720"/>
        <w:jc w:val="both"/>
      </w:pPr>
      <w:r>
        <w:rPr>
          <w:rFonts w:ascii="Times New Roman" w:hAnsi="Times New Roman" w:cs="Times New Roman"/>
          <w:b w:val="0"/>
          <w:i w:val="0"/>
          <w:sz w:val="30"/>
        </w:rPr>
        <w:t>16 cụm do Ủy ban nhân dân cấp xã quản lý, hạ tầng đầu tư bằng ngân sách: 08 cụm chưa có quyết định thành lập đã xong bước thông báo tiếp nhận hồ sơ, Sở đang đôn đốc để trước ngày 10/10 có đủ hồ sơ và trình Ủy ban nhân dân tỉnh quyết định thành lập trước ngày 15/10/2026; 04 cụm đã thành lập; 04 cụm thuộc diện rút khỏi quy hoạch, di dời. Về cụm mới, Sở đã trình thành lập Xuân Ái, đang thẩm định 04 cụm Tân Nguyên, Tân Hợp, Bản Phiệt 1, Châu Quế để trình trong tháng 10/2026.</w:t>
      </w:r>
    </w:p>
    <w:p>
      <w:pPr>
        <w:spacing w:line="240" w:lineRule="auto" w:before="120" w:after="120"/>
        <w:ind w:firstLine="720"/>
        <w:jc w:val="both"/>
      </w:pPr>
      <w:r>
        <w:rPr>
          <w:rFonts w:ascii="Times New Roman" w:hAnsi="Times New Roman" w:cs="Times New Roman"/>
          <w:b/>
          <w:i w:val="0"/>
          <w:sz w:val="30"/>
        </w:rPr>
        <w:t>2. Về từng cụm do doanh nghiệp làm chủ đầu tư</w:t>
      </w:r>
    </w:p>
    <w:p>
      <w:pPr>
        <w:spacing w:line="240" w:lineRule="auto" w:before="120" w:after="120"/>
        <w:ind w:firstLine="720"/>
        <w:jc w:val="both"/>
      </w:pPr>
      <w:r>
        <w:rPr>
          <w:rFonts w:ascii="Times New Roman" w:hAnsi="Times New Roman" w:cs="Times New Roman"/>
          <w:b w:val="0"/>
          <w:i w:val="0"/>
          <w:sz w:val="30"/>
        </w:rPr>
        <w:t>Thống Nhất 1 tại xã Gia Phú đã khởi công, thi công từ ngày 01/10/2026, dự kiến hoàn thành hạ tầng tháng 8/2027. Vướng mắc là 25 hộ chưa di chuyển vì khu tái định cư chưa đủ điều kiện xây nhà, chưa có tạm cư; hai tuyến đường kết nối từ IC18 và Quốc lộ 4E vừa được phê duyệt dự án tháng 9/2026, chưa khởi công.</w:t>
      </w:r>
    </w:p>
    <w:p>
      <w:pPr>
        <w:spacing w:line="240" w:lineRule="auto" w:before="120" w:after="120"/>
        <w:ind w:firstLine="720"/>
        <w:jc w:val="both"/>
      </w:pPr>
      <w:r>
        <w:rPr>
          <w:rFonts w:ascii="Times New Roman" w:hAnsi="Times New Roman" w:cs="Times New Roman"/>
          <w:b w:val="0"/>
          <w:i w:val="0"/>
          <w:sz w:val="30"/>
        </w:rPr>
        <w:t>Các Cụm công nghiệp Phú Thịnh 1, Phú Thịnh 2, Phú Thịnh 3 có một vướng mắc chung là 72,23 ha đất có nguồn gốc của Công ty cổ phần Chè Văn Hưng, tồn tại từ năm 2016. Trong đó Phú Thịnh 1 chậm nhất, sau 04 năm thành lập mới chi trả được 24 hộ, chưa được giao đất, Sở đã trình điều chỉnh quyết định thành lập; Phú Thịnh 2 đã bồi thường gần 55 ha, cần được cho thuê đất giai đoạn 1 và nhận 2,3 ha đất dôi dư của đường trục chính; Phú Thịnh 3 đã khởi công nhưng chưa có giấy phép xây dựng nên chưa thi công.</w:t>
      </w:r>
    </w:p>
    <w:p>
      <w:pPr>
        <w:spacing w:line="240" w:lineRule="auto" w:before="120" w:after="120"/>
        <w:ind w:firstLine="720"/>
        <w:jc w:val="both"/>
      </w:pPr>
      <w:r>
        <w:rPr>
          <w:rFonts w:ascii="Times New Roman" w:hAnsi="Times New Roman" w:cs="Times New Roman"/>
          <w:b w:val="0"/>
          <w:i w:val="0"/>
          <w:sz w:val="30"/>
        </w:rPr>
        <w:t>Minh Quân tại phường Âu Lâu 07 năm chưa khởi công; chủ đầu tư mới chi trả được khoảng 05 ha, phường chưa lập được Hội đồng bồi thường. Y Can tại xã Quy Mông mới bồi thường 6,8 ha, mục tiêu khởi công tháng 11/2026. Bảo Minh, Mông Sơn, Yên Hợp 2 vừa thành lập năm 2026, đang lập quy hoạch chi tiết và thu hồi đất; Mông Sơn chỉ khởi công được khi có đường vào và khu tái định cư do ngân sách đầu tư.</w:t>
      </w:r>
    </w:p>
    <w:p>
      <w:pPr>
        <w:spacing w:line="240" w:lineRule="auto" w:before="120" w:after="120"/>
        <w:ind w:firstLine="720"/>
        <w:jc w:val="both"/>
      </w:pPr>
      <w:r>
        <w:rPr>
          <w:rFonts w:ascii="Times New Roman" w:hAnsi="Times New Roman" w:cs="Times New Roman"/>
          <w:b/>
          <w:i w:val="0"/>
          <w:sz w:val="30"/>
        </w:rPr>
        <w:t>3. Về nguyên nhân chậm trễ</w:t>
      </w:r>
    </w:p>
    <w:p>
      <w:pPr>
        <w:spacing w:line="240" w:lineRule="auto" w:before="120" w:after="120"/>
        <w:ind w:firstLine="720"/>
        <w:jc w:val="both"/>
      </w:pPr>
      <w:r>
        <w:rPr>
          <w:rFonts w:ascii="Times New Roman" w:hAnsi="Times New Roman" w:cs="Times New Roman"/>
          <w:b w:val="0"/>
          <w:i w:val="0"/>
          <w:sz w:val="30"/>
        </w:rPr>
        <w:t>Sở đánh giá có ba nhóm nguyên nhân chính. Thứ nhất, một số chủ đầu tư không tích cực phối hợp với chính quyền địa phương, năng lực và vốn hạn chế, rõ nhất là Phú Thịnh 1, Minh Quân, Y Can. Thứ hai, công tác bồi thường, giải phóng mặt bằng ở cấp xã còn chậm, chủ yếu do thiếu nhân lực chuyên môn sau sắp xếp đơn vị hành chính. Thứ ba, đất có nguồn gốc của Công ty cổ phần Chè Văn Hưng chưa được xử lý dứt điểm: phần đã thu hồi từ năm 2016 chưa bàn giao thực địa, chưa bồi thường cho Công ty; phương án hỗ trợ do Sở Nông nghiệp và Môi trường đề xuất tại Báo cáo số 499 ngày 05/6/2026 chưa được triển khai tại các cụm.</w:t>
      </w:r>
    </w:p>
    <w:p>
      <w:pPr>
        <w:spacing w:line="240" w:lineRule="auto" w:before="120" w:after="120"/>
        <w:ind w:firstLine="720"/>
        <w:jc w:val="both"/>
      </w:pPr>
      <w:r>
        <w:rPr>
          <w:rFonts w:ascii="Times New Roman" w:hAnsi="Times New Roman" w:cs="Times New Roman"/>
          <w:b w:val="0"/>
          <w:i w:val="0"/>
          <w:sz w:val="30"/>
        </w:rPr>
        <w:t>Ủy ban nhân dân tỉnh đã nhiều lần chỉ đạo tại Thông báo số 65/TB-VP ngày 06/5/2026, các Văn bản số 5893, 8820, 8854/UBND-KT nhưng chuyển biến còn chậm. Về phần mình, Sở Công Thương nhận trách nhiệm chưa đôn đốc, hướng dẫn kịp thời, nhất là với 08 cụm vốn ngân sách.</w:t>
      </w:r>
    </w:p>
    <w:p>
      <w:pPr>
        <w:spacing w:line="240" w:lineRule="auto" w:before="120" w:after="120"/>
        <w:ind w:firstLine="720"/>
        <w:jc w:val="both"/>
      </w:pPr>
      <w:r>
        <w:rPr>
          <w:rFonts w:ascii="Times New Roman" w:hAnsi="Times New Roman" w:cs="Times New Roman"/>
          <w:b/>
          <w:i w:val="0"/>
          <w:sz w:val="30"/>
        </w:rPr>
        <w:t>4. Những việc đề nghị Ủy ban nhân dân tỉnh chỉ đạo</w:t>
      </w:r>
    </w:p>
    <w:p>
      <w:pPr>
        <w:spacing w:line="240" w:lineRule="auto" w:before="120" w:after="120"/>
        <w:ind w:firstLine="720"/>
        <w:jc w:val="both"/>
      </w:pPr>
      <w:r>
        <w:rPr>
          <w:rFonts w:ascii="Times New Roman" w:hAnsi="Times New Roman" w:cs="Times New Roman"/>
          <w:b w:val="0"/>
          <w:i w:val="0"/>
          <w:sz w:val="30"/>
        </w:rPr>
        <w:t>Một là, về đất Chè Văn Hưng: Ủy ban nhân dân tỉnh cho ý kiến chỉ đạo về ba nội dung Sở Nông nghiệp và Môi trường đã đề xuất tại Báo cáo số 499 để phường Văn Phú, xã Yên Bình lập phương án bồi thường, hỗ trợ trong tháng 10/2026; Trung tâm Phát triển quỹ đất tỉnh nhận bàn giao thực địa 32,04 ha và cùng địa phương kiểm đếm.</w:t>
      </w:r>
    </w:p>
    <w:p>
      <w:pPr>
        <w:spacing w:line="240" w:lineRule="auto" w:before="120" w:after="120"/>
        <w:ind w:firstLine="720"/>
        <w:jc w:val="both"/>
      </w:pPr>
      <w:r>
        <w:rPr>
          <w:rFonts w:ascii="Times New Roman" w:hAnsi="Times New Roman" w:cs="Times New Roman"/>
          <w:b w:val="0"/>
          <w:i w:val="0"/>
          <w:sz w:val="30"/>
        </w:rPr>
        <w:t>Hai là, về hạ tầng ngoài hàng rào: Ban Quản lý dự án đầu tư xây dựng công trình giao thông tỉnh khởi công hai tuyến đường Thống Nhất 1 trong Quý IV/2026; Ban Quản lý dự án đầu tư xây dựng số 1 hoàn thành đường trục chính Phú Thịnh trong năm 2026; Sở Tài chính thẩm định chủ trương đầu tư đường vào, khu tái định cư Mông Sơn; Công ty Điện lực Lào Cai và các đơn vị cấp nước lập kế hoạch cấp điện, cấp nước đến chân hàng rào theo tiến độ khởi công.</w:t>
      </w:r>
    </w:p>
    <w:p>
      <w:pPr>
        <w:spacing w:line="240" w:lineRule="auto" w:before="120" w:after="120"/>
        <w:ind w:firstLine="720"/>
        <w:jc w:val="both"/>
      </w:pPr>
      <w:r>
        <w:rPr>
          <w:rFonts w:ascii="Times New Roman" w:hAnsi="Times New Roman" w:cs="Times New Roman"/>
          <w:b w:val="0"/>
          <w:i w:val="0"/>
          <w:sz w:val="30"/>
        </w:rPr>
        <w:t>Ba là, về bồi thường tại phường Âu Lâu: phường cung cấp chứng từ, bàn giao khoảng 05 ha cho chủ đầu tư Minh Quân trước ngày 20/10/2026; giao Trung tâm Phát triển quỹ đất tỉnh thực hiện phần còn lại; xã nào không bố trí được Hội đồng bồi thường thì áp dụng cách này.</w:t>
      </w:r>
    </w:p>
    <w:p>
      <w:pPr>
        <w:spacing w:line="240" w:lineRule="auto" w:before="120" w:after="120"/>
        <w:ind w:firstLine="720"/>
        <w:jc w:val="both"/>
      </w:pPr>
      <w:r>
        <w:rPr>
          <w:rFonts w:ascii="Times New Roman" w:hAnsi="Times New Roman" w:cs="Times New Roman"/>
          <w:b w:val="0"/>
          <w:i w:val="0"/>
          <w:sz w:val="30"/>
        </w:rPr>
        <w:t>Bốn là, về thủ tục: Ủy ban nhân dân tỉnh sớm ban hành quyết định điều chỉnh thành lập Phú Thịnh 1, quyết định thành lập Xuân Ái; Sở Xây dựng hoàn thành thẩm định thiết kế cơ sở, cấp giấy phép xây dựng Phú Thịnh 3 trong tháng 10/2026; các sở, ngành cho ý kiến ngay khi nhận hồ sơ 08 cụm vốn ngân sách để Sở trình trước ngày 15/10/2026 và Ủy ban nhân dân tỉnh quyết định ngay khi đủ hồ sơ.</w:t>
      </w:r>
    </w:p>
    <w:p>
      <w:pPr>
        <w:spacing w:line="240" w:lineRule="auto" w:before="120" w:after="120"/>
        <w:ind w:firstLine="720"/>
        <w:jc w:val="both"/>
      </w:pPr>
      <w:r>
        <w:rPr>
          <w:rFonts w:ascii="Times New Roman" w:hAnsi="Times New Roman" w:cs="Times New Roman"/>
          <w:b w:val="0"/>
          <w:i w:val="0"/>
          <w:sz w:val="30"/>
        </w:rPr>
        <w:t>Năm là, về vốn: giao Sở Tài chính tổng hợp nhu cầu vốn các cụm, trước hết là hạ tầng Hưng Khánh, Thịnh Hưng, đường vào và khu tái định cư Mông Sơn, hệ thống xử lý nước thải tập trung tại các cụm cấp xã, báo cáo Ủy ban nhân dân tỉnh trong Quý IV/2026. Với chủ đầu tư không thực hiện đúng cam kết, Sở sẽ tham mưu Ủy ban nhân dân tỉnh xử lý theo khoản 2 Điều 12 Nghị định số 32/2024/NĐ-CP.</w:t>
      </w:r>
    </w:p>
    <w:p>
      <w:pPr>
        <w:spacing w:line="240" w:lineRule="auto" w:before="120" w:after="120"/>
        <w:ind w:firstLine="720"/>
        <w:jc w:val="both"/>
      </w:pPr>
      <w:r>
        <w:rPr>
          <w:rFonts w:ascii="Times New Roman" w:hAnsi="Times New Roman" w:cs="Times New Roman"/>
          <w:b w:val="0"/>
          <w:i w:val="0"/>
          <w:sz w:val="30"/>
        </w:rPr>
        <w:t>Sở Công Thương cam kết hằng tuần đôn đốc chủ đầu tư và các địa phương theo từng mốc đã nêu trong Báo cáo, kịp thời tổng hợp vướng mắc báo cáo Ủy ban nhân dân tỉnh.</w:t>
      </w:r>
    </w:p>
    <w:p>
      <w:pPr>
        <w:spacing w:line="240" w:lineRule="auto" w:before="120" w:after="120"/>
        <w:ind w:firstLine="720"/>
        <w:jc w:val="both"/>
      </w:pPr>
      <w:r>
        <w:rPr>
          <w:rFonts w:ascii="Times New Roman" w:hAnsi="Times New Roman" w:cs="Times New Roman"/>
          <w:b w:val="0"/>
          <w:i w:val="0"/>
          <w:sz w:val="30"/>
        </w:rPr>
        <w:t>Xin trân trọng cảm ơn các đồng chí!</w:t>
      </w:r>
    </w:p>
    <w:sectPr w:rsidR="00FC693F" w:rsidRPr="0006063C" w:rsidSect="00034616">
      <w:pgSz w:w="11906" w:h="16838"/>
      <w:pgMar w:top="850" w:right="709" w:bottom="709"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120" w:after="120"/>
    </w:pPr>
    <w:rPr>
      <w:rFonts w:ascii="Times New Roman" w:hAnsi="Times New Roman"/>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