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val="false"/>
                <w:bCs w:val="false"/>
                <w:sz w:val="26"/>
                <w:szCs w:val="26"/>
              </w:rPr>
              <w:t xml:space="preserve">UBND TỈNH LÀO CAI</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6"/>
                <w:szCs w:val="26"/>
              </w:rPr>
              <w:t xml:space="preserve">SỞ CÔNG THƯƠNG</w:t>
            </w:r>
          </w:p>
          <w:p>
            <w:pPr>
              <w:pBdr>
                <w:top w:val="single" w:color="000000" w:sz="6" w:space="1"/>
              </w:pBdr>
              <w:spacing w:after="60"/>
              <w:ind w:left="900" w:right="90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sz w:val="26"/>
                <w:szCs w:val="26"/>
              </w:rPr>
              <w:t xml:space="preserve">Số:        /BC-SCT</w:t>
            </w:r>
          </w:p>
        </w:tc>
        <w:tc>
          <w:tcPr>
            <w:tcW w:type="dxa" w:w="57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5"/>
                <w:szCs w:val="25"/>
              </w:rPr>
              <w:t xml:space="preserve">CỘNG HÒA XÃ HỘI CHỦ NGHĨA VIỆT NAM</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Độc lập - Tự do - Hạnh phúc</w:t>
            </w:r>
          </w:p>
          <w:p>
            <w:pPr>
              <w:pBdr>
                <w:top w:val="single" w:color="000000" w:sz="6" w:space="1"/>
              </w:pBdr>
              <w:spacing w:after="60"/>
              <w:ind w:left="1250" w:right="125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i/>
                <w:iCs/>
                <w:sz w:val="28"/>
                <w:szCs w:val="28"/>
              </w:rPr>
              <w:t xml:space="preserve">Lào Cai, ngày      tháng 10 năm 2026</w:t>
            </w:r>
          </w:p>
        </w:tc>
      </w:tr>
    </w:tbl>
    <w:p>
      <w:pPr>
        <w:spacing w:after="60" w:before="0" w:line="262"/>
        <w:jc w:val="center"/>
        <w:rPr>
          <w:rFonts w:ascii="Times New Roman" w:hAnsi="Times New Roman" w:eastAsia="Times New Roman" w:cs="Times New Roman"/>
        </w:rPr>
      </w:pPr>
      <w:r>
        <w:rPr>
          <w:rFonts w:ascii="Times New Roman" w:hAnsi="Times New Roman" w:eastAsia="Times New Roman" w:cs="Times New Roman"/>
          <w:sz w:val="28"/>
          <w:szCs w:val="28"/>
        </w:rPr>
        <w:t xml:space="preserve"/>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BÁO CÁO</w:t>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Tiến độ thực hiện các dự án tại địa điểm kiểm tra thực địa</w:t>
      </w:r>
    </w:p>
    <w:p>
      <w:pPr>
        <w:spacing w:after="20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của Thường trực Tỉnh ủy ngày 19/10 và ngày 21/10/2026</w:t>
      </w:r>
    </w:p>
    <w:p>
      <w:pPr>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Thực hiện Chương trình số 130-CTr/TU ngày 16/10/2026 của Tỉnh ủy Lào Cai về việc Thường trực Tỉnh ủy kiểm tra, tháo gỡ khó khăn, vướng mắc các dự án khu, cụm công nghiệp trọng điểm trên địa bàn tỉnh, Sở Công Thương báo cáo tiến độ thực hiện dự án tại 03 địa điểm kiểm tra thực địa như sau:</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I. KHU CÔNG NGHIỆP PHÚ XUÂN VÀ KHU CÔNG NGHIỆP PHÚ XUÂN 1 (XÃ GIA PHÚ)</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(Kiểm tra thực địa 8h30 ngày 19/10/2026)</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1. Giới thiệu dự án</w:t>
      </w:r>
    </w:p>
    <w:p>
      <w:pPr>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Chủ đầu tư: Công ty cổ phần Công nghiệp Linh Linh. Khu công nghiệp Phú Xuân 300 ha, tổng vốn 3.277 tỷ đồng (Quyết định số 2336/QĐ-UBND ngày 02/7/2026, điều chỉnh tại Quyết định số 2979/QĐ-UBND ngày 21/8/2026); Khu công nghiệp Phú Xuân 1 là 200 ha, tổng vốn 2.185 tỷ đồng (Quyết định số 2338/QĐ-UBND ngày 02/7/2026, điều chỉnh tại Quyết định số 2978/QĐ-UBND ngày 21/8/2026, bổ sung mục tiêu truyền tải, phân phối điện). Tiến độ theo chủ trương đầu tư: thi công hạ tầng năm 2027, vận hành kinh doanh từ Quý I/2028. Hai khu đã khởi công ngày 26/8/2026; 38 nhóm ngành, nghề thu hút đầu tư đã được Ủy ban nhân dân tỉnh thống nhất (Văn bản số 9813/UBND-XD ngày 27/9/2026). Hai khu có quy mô 500 ha, lớn nhất trong các khu công nghiệp được chấp thuận năm 2026, khi hoàn thành sẽ tạo quỹ đất công nghiệp sạch lớn, thu hút nhà đầu tư thứ cấp, tạo việc làm và nguồn thu ngân sách cho tỉnh.</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2. Tiến độ đến ngày 16/10/2026</w:t>
      </w:r>
    </w:p>
    <w:p>
      <w:pPr>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Giải phóng mặt bằng: đã kiểm đếm 260/500 ha (52%), bàn giao chính thức 4,3/500 ha. Khu công nghiệp Phú Xuân đã thông báo thu hồi đất 300 ha, áp giá bồi thường 148 ha, niêm yết phương án 17,13 ha, chi trả 42,04 tỷ đồng; Khu công nghiệp Phú Xuân 1 đã thông báo thu hồi đất 200 ha, áp giá 20 ha, chưa niêm yết và chi trả. Khu tái định cư Phú Xuân đã có chủ trương đầu tư (Quyết định số 3105/QĐ-UBND ngày 27/8/2026), chưa xây dựng xong.</w:t>
      </w:r>
    </w:p>
    <w:p>
      <w:pPr>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Thủ tục: Khu công nghiệp Phú Xuân đã có giấy phép môi trường, quyết định cho thuê đất, đã nộp hồ sơ thẩm định thiết kế phòng cháy và chữa cháy; khảo sát địa chất 33 lỗ khoan (498 m); đang lập quy hoạch tổng mặt bằng, thiết kế bản vẽ thi công nhà điều hành, trạm xử lý nước thải, trạm biến áp 110 kV và hành lang đấu nối; Khu công nghiệp Phú Xuân 1 đang thiết kế trạm xử lý nước sạch; nhà đầu tư đang giải trình, hoàn thiện hồ sơ đề xuất dự án cấp nước thô cho hai khu.</w:t>
      </w:r>
    </w:p>
    <w:p>
      <w:pPr>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Thi công: đã phê duyệt thiết kế tuyến đường N3-A (Khu công nghiệp Phú Xuân), N1-B (Khu công nghiệp Phú Xuân 1); đang san gạt khu đất 4,3 ha đã giải phóng mặt bằng (vị trí Đoàn kiểm tra) (Báo cáo ngày 16/10/2026 của Ban Quản lý Khu kinh tế tỉnh).</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3. Khó khăn, vướng mắc và tiến độ đề xuất</w:t>
      </w:r>
    </w:p>
    <w:p>
      <w:pPr>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Giải phóng mặt bằng chậm, bàn giao nhỏ lẻ (3 tháng được 4,3 ha); Ban Quản lý dự án phường Lào Cai mới kiểm đếm 130 ha và không ký tiếp hợp đồng, chủ đầu tư phải giới thiệu đơn vị ngoài tỉnh phối hợp với Ban Quản lý dự án xã Gia Phú; cán bộ địa chính xã thiếu; một số hộ tạo lập công trình trái phép để trục lợi bồi thường; nhiều hộ chỉ bàn giao khi có tái định cư; đường kết nối nút giao IC17 chưa triển khai; nhu cầu nước hai khu theo quy hoạch khoảng 58.000 m3/ngày đêm, nhà máy nước 70.000 m3/ngày đêm tại Khu công nghiệp Phú Xuân 1 và tuyến nước thô đang hoàn thiện hồ sơ (Văn bản số 10076/UBND-XD ngày 03/10/2026, Văn bản số 10150/UBND-XD ngày 06/10/2026); thu hồi khoáng sản khi san nền đã được hướng dẫn (Văn bản số 6452/SCT-KS ngày 09/10/2026) (Báo cáo tháng 10/2026 của Ban Quản lý Khu kinh tế tỉnh). Tiến độ đề xuất: bàn giao phần đã áp giá (148 ha và 20 ha) trong Quý IV/2026; phê duyệt dự án nước thô, khởi công đường kết nối IC17 trong Quý IV/2026; thi công hạ tầng đồng loạt từ Quý I/2027.</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4. Kiến nghị Thường trực Tỉnh ủy chỉ đạo</w:t>
      </w:r>
    </w:p>
    <w:p>
      <w:pPr>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Đảng ủy xã Gia Phú lãnh đạo giải phóng mặt bằng theo kế hoạch chi tiết, dân vận, ngăn chặn xây dựng trái phép; Đảng ủy Ủy ban nhân dân tỉnh chỉ đạo tăng cường cán bộ địa chính cho xã, cho chủ trương Trung tâm Phát triển quỹ đất tỉnh ký hợp đồng trực tiếp với chủ đầu tư, ưu tiên vốn khu tái định cư Phú Xuân, đường kết nối IC17 và nhà máy nước; Đảng ủy Công an tỉnh chỉ đạo xử lý hành vi móc nối trục lợi bồi thường; chủ đầu tư thi công ngay trên phần đã có mặt bằng.</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II. NHÀ MÁY CHẾ BIẾN GRAPHIT YÊN THÁI (XÃ TRẤN YÊN) VÀ MỎ GRAPHIT YÊN THÁI (XÃ MẬU A)</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(Kiểm tra thực địa 8h00 ngày 21/10/2026)</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1. Giới thiệu dự án</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Chủ đầu tư: Công ty cổ phần Tập đoàn Graphit Việt Nam. Nhà máy chế biến graphit Yên Thái đặt tại xã Báo Đáp cũ, nay là xã Trấn Yên: Giấy chứng nhận đầu tư số 16102100018 ngày 27/5/2013; công suất 40.000 tấn/năm, sản phẩm theo chủ trương đạt 99% và 99,99% cacbon. Mỏ graphit Yên Thái (thôn Tân Thành, xã Mậu A) đã hết thời hạn hoạt động từ ngày 11/9/2025 và hết hạn Giấy phép khai thác số 1429/GP-BTNMT ngày 17/7/2014. Khi hoạt động, hai dự án tạo việc làm cho hơn 100 lao động.</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2. Tình hình đến nay</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Hai dự án dừng hoạt động từ tháng 8/2019. Do khó khăn công nghệ, nhà máy chỉ sản xuất được tinh quặng 90 - 96% cacbon, không đạt mục tiêu 99 - 99,99% theo chủ trương; tiêu thụ trong nước chỉ khoảng 5% công suất; tồn kho khoảng 9.017,662 tấn. Công ty còn nợ ngân sách nhà nước khoảng 50 tỷ đồng, đang bị cưỡng chế nợ thuế và tạm hoãn xuất cảnh người đại diện theo pháp luật (Văn bản số 1289/LCA-CNTK ngày 15/6/2026 của Thuế tỉnh Lào Cai).</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Công ty đã đề nghị gia hạn thời hạn hoạt động dự án và giấy phép khai thác; Ủy ban nhân dân tỉnh chỉ xem xét gia hạn sau khi khắc phục đầy đủ tồn tại (Văn bản số 7518/UBND-KT ngày 23/7/2026). Cục Địa chất và Khoáng sản Việt Nam xác định dự án mỏ thuộc diện chấm dứt hoạt động theo Luật Đầu tư năm 2025 (Văn bản số 1740/ĐCKS-KS ngày 26/5/2026).</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3. Khó khăn, vướng mắc và hướng xử lý</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Công ty chưa nộp ngân sách nên chưa đủ điều kiện gia hạn; sản phẩm không đạt mục tiêu và không tiêu thụ được. Hướng xử lý: Thuế tỉnh Lào Cai đôn đốc, cưỡng chế nợ thuế; Công ty báo cáo phương án, tiến độ trả nợ; Sở Tài chính rà soát tình trạng pháp lý, tham mưu Ủy ban nhân dân tỉnh gia hạn khi đủ điều kiện hoặc chấm dứt hoạt động dự án theo quy định trong Quý IV/2026; Sở Nông nghiệp và Môi trường kiểm tra nghĩa vụ môi trường, đóng cửa mỏ đối với giấy phép đã hết hạn.</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4. Kiến nghị Thường trực Tỉnh ủy chỉ đạo</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Đảng ủy Ủy ban nhân dân tỉnh chỉ đạo Thuế tỉnh thu hồi nợ ngân sách và các sở xử lý dứt điểm tình trạng pháp lý hai dự án trong Quý IV/2026; yêu cầu Công ty tập trung nguồn lực nộp ngân sách, báo cáo phương án khôi phục hoặc chuyển nhượng dự án.</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III. KHU CÔNG NGHIỆP TRẤN YÊN (PHƯỜNG ÂU LÂU)</w:t>
      </w:r>
    </w:p>
    <w:p>
      <w:pPr>
        <w:keepNext/>
        <w:spacing w:after="20"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(Kiểm tra thực địa 8h45 ngày 21/10/2026)</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1. Giới thiệu dự án</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Chủ đầu tư: Tổng công ty Viglacera - CTCP; quy hoạch 339 ha, giai đoạn 1 là 254,59 ha; tổng mức đầu tư 2.184 tỷ đồng; Ban Quản lý các Khu công nghiệp tỉnh quản lý; điều chỉnh cục bộ quy hoạch phân khu tại Quyết định số 161/QĐ-BQLCKCN ngày 12/6/2026. Đây là khu công nghiệp duy nhất của tỉnh do nhà đầu tư hạ tầng bỏ vốn, khi lấp đầy sẽ tạo việc làm và nguồn thu ngân sách lớn cho khu vực phía Nam tỉnh.</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2. Tiến độ đến ngày 16/10/2026</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Giải phóng mặt bằng: đã hoàn thành 107,9/254,59 ha (khu phía Tây), giải ngân kinh phí giải phóng mặt bằng 220 tỷ đồng; khu phía Đông 145,59 ha đang kiểm kê, xác định nguồn gốc đất để lập phương án bồi thường.</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Thi công: san nền 107,9 ha đạt khoảng 70 - 80%; nền đường 3,5 km, thoát nước 1.000 m; lũy kế giải ngân khoảng 350 tỷ đồng; cấp điện 22 kV, nhà điều hành hoàn thành Quý IV/2026; trạm xử lý nước thải 2.000 m3/ngày đêm đang triển khai.</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Thu hút đầu tư thứ cấp: 01 dự án đã được chấp thuận với vốn đăng ký 2.662,404 tỷ đồng, diện tích 22,8982 ha; 01 dự án đang thẩm định (Báo cáo số 294/BC-BQLCKCN ngày 18/9/2026 và Báo cáo ngày 16/10/2026 của Ban Quản lý các Khu công nghiệp tỉnh).</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3. Khó khăn, vướng mắc và tiến độ đề xuất</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Khu phía Đông 145,59 ha chưa giải phóng mặt bằng; một số hộ chưa đồng thuận phương án tái định cư; lực lượng giải phóng mặt bằng của phường thiếu, kiêm nhiệm. Tiến độ đề xuất: hoàn thành hạ tầng kỹ thuật 107,9 ha khu phía Tây trong Quý IV/2026 để bàn giao đất cho nhà đầu tư thứ cấp; khu phía Đông bàn giao theo từng đợt, hoàn thành trong năm 2027 theo kế hoạch do Ban Quản lý các Khu công nghiệp tỉnh thống nhất với phường Âu Lâu và chủ đầu tư.</w:t>
      </w:r>
    </w:p>
    <w:p>
      <w:pPr>
        <w:keepNext/>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4. Kiến nghị Thường trực Tỉnh ủy chỉ đạo</w:t>
      </w:r>
    </w:p>
    <w:p>
      <w:pPr>
        <w:spacing w:after="0" w:before="0" w:line="240"/>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Đảng ủy phường Âu Lâu tập trung lãnh đạo giải phóng mặt bằng khu phía Đông theo đợt, giải quyết dứt điểm nguồn gốc đất và phương án tái định cư; Đảng ủy Ủy ban nhân dân tỉnh chỉ đạo giao chỉ tiêu giải phóng mặt bằng theo quý cho phường, Trung tâm Phát triển quỹ đất tỉnh hỗ trợ nhân lực; Viglacera hoàn thành hạ tầng khu phía Tây và phối hợp Ban Quản lý các Khu công nghiệp tỉnh xúc tiến nhà đầu tư thứ cấp.</w:t>
      </w:r>
    </w:p>
    <w:p>
      <w:pPr>
        <w:keepNext/>
        <w:spacing w:after="28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Sở Công Thương trân trọng báo cáo./.</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b/>
          <w:bCs/>
          <w:i/>
          <w:iCs/>
          <w:sz w:val="24"/>
          <w:szCs w:val="24"/>
        </w:rPr>
        <w:t xml:space="preserve">Nơi nhận:</w:t>
      </w:r>
      <w:r>
        <w:rPr>
          <w:rFonts w:ascii="Times New Roman" w:hAnsi="Times New Roman" w:eastAsia="Times New Roman" w:cs="Times New Roman"/>
          <w:b/>
          <w:bCs/>
          <w:sz w:val="28"/>
          <w:szCs w:val="28"/>
        </w:rPr>
        <w:t xml:space="preserve">	GIÁM ĐỐC</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Như trên;</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Khu kinh tế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các Khu công nghiệp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Lưu: VT, CN(Trung).</w:t>
      </w:r>
    </w:p>
    <w:p>
      <w:pPr>
        <w:keepNext w:val="false"/>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b/>
          <w:bCs/>
          <w:sz w:val="28"/>
          <w:szCs w:val="28"/>
        </w:rPr>
        <w:t xml:space="preserve">	Hoàng Chí Hiền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separator/>
      </w:r>
    </w:p>
  </w:endnote>
  <w:endnote w:type="continuationSeparator" w:id="0">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separator/>
      </w:r>
    </w:p>
  </w:footnote>
  <w:footnote w:type="continuationSeparator" w:id="0">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2026-10-17T09:07:17.463Z</dcterms:created>
  <dcterms:modified xsi:type="dcterms:W3CDTF">2026-10-17T09:07:17.463Z</dcterms:modified>
</cp:coreProperties>
</file>

<file path=docProps/custom.xml><?xml version="1.0" encoding="utf-8"?>
<Properties xmlns="http://schemas.openxmlformats.org/officeDocument/2006/custom-properties" xmlns:vt="http://schemas.openxmlformats.org/officeDocument/2006/docPropsVTypes"/>
</file>