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101</w:t>
            </w:r>
          </w:p>
        </w:tc>
        <w:tc>
          <w:tcPr>
            <w:tcW w:type="dxa" w:w="6236"/>
          </w:tcPr>
          <w:p>
            <w:pPr>
              <w:spacing w:before="0" w:after="60" w:line="264" w:lineRule="auto"/>
              <w:jc w:val="center"/>
            </w:pPr>
            <w:r>
              <w:rPr>
                <w:rFonts w:ascii="Times New Roman" w:hAnsi="Times New Roman" w:eastAsia="Times New Roman"/>
                <w:b/>
                <w:sz w:val="24"/>
              </w:rPr>
              <w:t>ĐỀ KIỂM TRA CHƯƠNG III – NĂM HỌC 2026 – 2027</w:t>
            </w:r>
          </w:p>
          <w:p>
            <w:pPr>
              <w:spacing w:before="0" w:after="60" w:line="264" w:lineRule="auto"/>
              <w:jc w:val="center"/>
            </w:pPr>
            <w:r>
              <w:rPr>
                <w:rFonts w:ascii="Times New Roman" w:hAnsi="Times New Roman" w:eastAsia="Times New Roman"/>
                <w:b/>
                <w:sz w:val="22"/>
              </w:rPr>
              <w:t>CÁC SỐ ĐẶC TRƯNG ĐO MỨC ĐỘ PHÂN TÁN CỦA MẪU SỐ LIỆU GHÉP NHÓM</w:t>
            </w:r>
          </w:p>
          <w:p>
            <w:pPr>
              <w:spacing w:before="0" w:after="60" w:line="264" w:lineRule="auto"/>
              <w:jc w:val="center"/>
            </w:pPr>
            <w:r>
              <w:rPr>
                <w:rFonts w:ascii="Times New Roman" w:hAnsi="Times New Roman" w:eastAsia="Times New Roman"/>
                <w:b/>
                <w:sz w:val="24"/>
              </w:rPr>
              <w:t>MÔN: TOÁN 12</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mẫu số liệu ghép nhóm như bảng sau. Cỡ mẫu của mẫu số liệu trên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Thời gian (phút)</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[0; 10)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30)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 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50)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5</w:t>
            </w:r>
          </w:p>
        </w:tc>
        <w:tc>
          <w:tcPr>
            <w:tcW w:type="dxa" w:w="1417"/>
            <w:vAlign w:val="center"/>
          </w:tcPr>
          <w:p>
            <w:pPr>
              <w:spacing w:before="0" w:after="20" w:line="264" w:lineRule="auto"/>
              <w:jc w:val="center"/>
            </w:pPr>
            <w:r>
              <w:rPr>
                <w:rFonts w:ascii="Times New Roman" w:hAnsi="Times New Roman" w:eastAsia="Times New Roman"/>
                <w:sz w:val="22"/>
              </w:rPr>
              <w:t>12</w:t>
            </w:r>
          </w:p>
        </w:tc>
        <w:tc>
          <w:tcPr>
            <w:tcW w:type="dxa" w:w="1417"/>
            <w:vAlign w:val="center"/>
          </w:tcPr>
          <w:p>
            <w:pPr>
              <w:spacing w:before="0" w:after="20" w:line="264" w:lineRule="auto"/>
              <w:jc w:val="center"/>
            </w:pPr>
            <w:r>
              <w:rPr>
                <w:rFonts w:ascii="Times New Roman" w:hAnsi="Times New Roman" w:eastAsia="Times New Roman"/>
                <w:sz w:val="22"/>
              </w:rPr>
              <w:t>15</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2</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40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45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Trong một mẫu số liệu ghép nhóm, giá trị đại diện của nhóm </w:t>
      </w:r>
      <m:oMath>
        <m:r>
          <m:t>[20;25)</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20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ghép nhóm có phương sai bằng </w:t>
      </w:r>
      <m:oMath>
        <m:r>
          <m:t>2,25</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5,0625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1,125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4,5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Cho mẫu số liệu ghép nhóm như bảng sau. Nhóm có tần số lớn nhất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Chiều cao (cm)</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[150; 155)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[155; 160)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[160; 165)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[165; 170)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[170; 175)</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3</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14</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5</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[160;165)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[150;155)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[155;160)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[165;170)</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tự học mỗi ngày (phút) của học sinh hai lớp, người ta tính được khoảng tứ phân vị của mẫu số liệu lớp 12A1 là </w:t>
      </w:r>
      <m:oMath>
        <m:r>
          <m:t>12</m:t>
        </m:r>
      </m:oMath>
      <w:r>
        <w:rPr>
          <w:rFonts w:ascii="Times New Roman" w:hAnsi="Times New Roman" w:eastAsia="Times New Roman"/>
          <w:sz w:val="24"/>
        </w:rPr>
        <w:t xml:space="preserve">, của lớp 12A2 là </w:t>
      </w:r>
      <m:oMath>
        <m:r>
          <m:t>7,5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12A1 tập trung hơn của lớp 12A2.</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Thời gian tự học mỗi ngày (phút) trung bình của lớp 12A1 lớn hơn của lớp 12A2.</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Khoảng 50% số liệu ở giữa của lớp 12A2 tập trung hơn (ít phân tán hơn) của lớp 12A1.</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dưới dạng mẫu số liệu ghép nhóm. Phương sai của mẫu số liệu giống A là </w:t>
      </w:r>
      <m:oMath>
        <m:r>
          <m:t>9,6</m:t>
        </m:r>
      </m:oMath>
      <w:r>
        <w:rPr>
          <w:rFonts w:ascii="Times New Roman" w:hAnsi="Times New Roman" w:eastAsia="Times New Roman"/>
          <w:sz w:val="24"/>
        </w:rPr>
        <w:t xml:space="preserve">, của giống B là </w:t>
      </w:r>
      <m:oMath>
        <m:r>
          <m:t>5,3</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A ổn định hơn năng suất của giống B.</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của giống B ổn định hơn năng suất của giống A.</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trung bình của giống A cao hơn của giống B.</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Kết quả khảo sát thời gian chạy 500 m (giây) của một nhóm (mẫu A) được cho trong bảng sau. Người ta tính được độ lệch chuẩn của mẫu A xấp xỉ </w:t>
      </w:r>
      <m:oMath>
        <m:r>
          <m:t>8,84</m:t>
        </m:r>
      </m:oMath>
      <w:r>
        <w:rPr>
          <w:rFonts w:ascii="Times New Roman" w:hAnsi="Times New Roman" w:eastAsia="Times New Roman"/>
          <w:sz w:val="24"/>
        </w:rPr>
        <w:t xml:space="preserve">. Một nhóm khác (mẫu B) có độ lệch chuẩn là </w:t>
      </w:r>
      <m:oMath>
        <m:r>
          <m:t>12,34</m:t>
        </m:r>
      </m:oMath>
      <w:r>
        <w:rPr>
          <w:rFonts w:ascii="Times New Roman" w:hAnsi="Times New Roman" w:eastAsia="Times New Roman"/>
          <w:sz w:val="24"/>
        </w:rPr>
        <w:t xml:space="preserve"> (cùng đơn vị đo).</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2"/>
              </w:rPr>
              <w:t>Thời gian chạy 500 m (giây)</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2"/>
              </w:rPr>
              <w:t>[100; 110)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2"/>
              </w:rPr>
              <w:t>[110; 120)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2"/>
              </w:rPr>
              <w:t>[120; 130)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2"/>
              </w:rPr>
              <w:t>[130; 140)</w:t>
            </w:r>
          </w:p>
        </w:tc>
      </w:tr>
      <w:tr>
        <w:tc>
          <w:tcPr>
            <w:tcW w:type="dxa" w:w="1701"/>
            <w:vAlign w:val="center"/>
          </w:tcPr>
          <w:p>
            <w:pPr>
              <w:spacing w:before="0" w:after="20" w:line="264" w:lineRule="auto"/>
              <w:jc w:val="center"/>
            </w:pPr>
            <w:r>
              <w:rPr>
                <w:rFonts w:ascii="Times New Roman" w:hAnsi="Times New Roman" w:eastAsia="Times New Roman"/>
                <w:sz w:val="22"/>
              </w:rPr>
              <w:t>Tần số</w:t>
            </w:r>
          </w:p>
        </w:tc>
        <w:tc>
          <w:tcPr>
            <w:tcW w:type="dxa" w:w="1701"/>
            <w:vAlign w:val="center"/>
          </w:tcPr>
          <w:p>
            <w:pPr>
              <w:spacing w:before="0" w:after="20" w:line="264" w:lineRule="auto"/>
              <w:jc w:val="center"/>
            </w:pPr>
            <w:r>
              <w:rPr>
                <w:rFonts w:ascii="Times New Roman" w:hAnsi="Times New Roman" w:eastAsia="Times New Roman"/>
                <w:sz w:val="22"/>
              </w:rPr>
              <w:t>4</w:t>
            </w:r>
          </w:p>
        </w:tc>
        <w:tc>
          <w:tcPr>
            <w:tcW w:type="dxa" w:w="1701"/>
            <w:vAlign w:val="center"/>
          </w:tcPr>
          <w:p>
            <w:pPr>
              <w:spacing w:before="0" w:after="20" w:line="264" w:lineRule="auto"/>
              <w:jc w:val="center"/>
            </w:pPr>
            <w:r>
              <w:rPr>
                <w:rFonts w:ascii="Times New Roman" w:hAnsi="Times New Roman" w:eastAsia="Times New Roman"/>
                <w:sz w:val="22"/>
              </w:rPr>
              <w:t>10</w:t>
            </w:r>
          </w:p>
        </w:tc>
        <w:tc>
          <w:tcPr>
            <w:tcW w:type="dxa" w:w="1701"/>
            <w:vAlign w:val="center"/>
          </w:tcPr>
          <w:p>
            <w:pPr>
              <w:spacing w:before="0" w:after="20" w:line="264" w:lineRule="auto"/>
              <w:jc w:val="center"/>
            </w:pPr>
            <w:r>
              <w:rPr>
                <w:rFonts w:ascii="Times New Roman" w:hAnsi="Times New Roman" w:eastAsia="Times New Roman"/>
                <w:sz w:val="22"/>
              </w:rPr>
              <w:t>12</w:t>
            </w:r>
          </w:p>
        </w:tc>
        <w:tc>
          <w:tcPr>
            <w:tcW w:type="dxa" w:w="1701"/>
            <w:vAlign w:val="center"/>
          </w:tcPr>
          <w:p>
            <w:pPr>
              <w:spacing w:before="0" w:after="20" w:line="264" w:lineRule="auto"/>
              <w:jc w:val="center"/>
            </w:pPr>
            <w:r>
              <w:rPr>
                <w:rFonts w:ascii="Times New Roman" w:hAnsi="Times New Roman" w:eastAsia="Times New Roman"/>
                <w:sz w:val="22"/>
              </w:rPr>
              <w:t>4</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Cỡ mẫu của mẫu A là </w:t>
      </w:r>
      <m:oMath>
        <m:r>
          <m:t>30</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Giá trị đại diện của nhóm </w:t>
      </w:r>
      <m:oMath>
        <m:r>
          <m:t>[110;120)</m:t>
        </m:r>
      </m:oMath>
      <w:r>
        <w:rPr>
          <w:rFonts w:ascii="Times New Roman" w:hAnsi="Times New Roman" w:eastAsia="Times New Roman"/>
          <w:sz w:val="24"/>
        </w:rPr>
        <w:t xml:space="preserve"> là </w:t>
      </w:r>
      <m:oMath>
        <m:r>
          <m:t>115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Số liệu của mẫu B đồng đều hơn số liệu của mẫu A.</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Nếu mỗi giá trị của mẫu A đều tăng thêm </w:t>
      </w:r>
      <m:oMath>
        <m:r>
          <m:t>5</m:t>
        </m:r>
      </m:oMath>
      <w:r>
        <w:rPr>
          <w:rFonts w:ascii="Times New Roman" w:hAnsi="Times New Roman" w:eastAsia="Times New Roman"/>
          <w:sz w:val="24"/>
        </w:rPr>
        <w:t xml:space="preserve"> đơn vị thì độ lệch chuẩn của mẫu A không thay đổi.</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Một hợp tác xã khảo sát năng suất cà phê (tạ/ha) của các hộ trồng cà phê ở xã Vĩnh Thạnh. Kết quả được cho trong bảng sau (các kết quả gần đúng làm tròn đến hàng phần trăm).</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Năng suất (tạ/ha)</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25)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[25; 30)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 35)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[35; 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45)</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3</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12</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2</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Khoảng biến thiên của mẫu số liệu là </w:t>
      </w:r>
      <m:oMath>
        <m:r>
          <m:t>25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Số trung bình của mẫu số liệu là </w:t>
      </w:r>
      <m:oMath>
        <m:r>
          <m:t>32,5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Phương sai của mẫu số liệu xấp xỉ </w:t>
      </w:r>
      <m:oMath>
        <m:r>
          <m:t>27,25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5,22</m:t>
        </m:r>
      </m:oMath>
      <w:r>
        <w:rPr>
          <w:rFonts w:ascii="Times New Roman" w:hAnsi="Times New Roman" w:eastAsia="Times New Roman"/>
          <w:sz w:val="24"/>
        </w:rPr>
        <w:t>.</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mẫu số liệu ghép nhóm có tứ phân vị thứ nhất </w:t>
      </w:r>
      <m:oMath>
        <m:sSub>
          <m:e>
            <m:r>
              <m:t>Q</m:t>
            </m:r>
          </m:e>
          <m:sub>
            <m:r>
              <m:t>1</m:t>
            </m:r>
          </m:sub>
        </m:sSub>
        <m:r>
          <m:t>=12,5</m:t>
        </m:r>
      </m:oMath>
      <w:r>
        <w:rPr>
          <w:rFonts w:ascii="Times New Roman" w:hAnsi="Times New Roman" w:eastAsia="Times New Roman"/>
          <w:sz w:val="24"/>
        </w:rPr>
        <w:t xml:space="preserve"> và tứ phân vị thứ ba </w:t>
      </w:r>
      <m:oMath>
        <m:sSub>
          <m:e>
            <m:r>
              <m:t>Q</m:t>
            </m:r>
          </m:e>
          <m:sub>
            <m:r>
              <m:t>3</m:t>
            </m:r>
          </m:sub>
        </m:sSub>
        <m:r>
          <m:t>=20,3</m:t>
        </m:r>
      </m:oMath>
      <w:r>
        <w:rPr>
          <w:rFonts w:ascii="Times New Roman" w:hAnsi="Times New Roman" w:eastAsia="Times New Roman"/>
          <w:sz w:val="24"/>
        </w:rPr>
        <w:t xml:space="preserve">. Tính khoảng tứ phân vị </w:t>
      </w:r>
      <m:oMath>
        <m:sSub>
          <m:e>
            <m:r>
              <m:t>Δ</m:t>
            </m:r>
          </m:e>
          <m:sub>
            <m:r>
              <m:t>Q</m:t>
            </m:r>
          </m:sub>
        </m:sSub>
      </m:oMath>
      <w:r>
        <w:rPr>
          <w:rFonts w:ascii="Times New Roman" w:hAnsi="Times New Roman" w:eastAsia="Times New Roman"/>
          <w:sz w:val="24"/>
        </w:rPr>
        <w:t xml:space="preserve"> của mẫu số liệu.</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ghép nhóm có </w:t>
      </w:r>
      <m:oMath>
        <m:sSub>
          <m:e>
            <m:r>
              <m:t>Q</m:t>
            </m:r>
          </m:e>
          <m:sub>
            <m:r>
              <m:t>1</m:t>
            </m:r>
          </m:sub>
        </m:sSub>
        <m:r>
          <m:t>=10</m:t>
        </m:r>
      </m:oMath>
      <w:r>
        <w:rPr>
          <w:rFonts w:ascii="Times New Roman" w:hAnsi="Times New Roman" w:eastAsia="Times New Roman"/>
          <w:sz w:val="24"/>
        </w:rPr>
        <w:t xml:space="preserve">, </w:t>
      </w:r>
      <m:oMath>
        <m:sSub>
          <m:e>
            <m:r>
              <m:t>Q</m:t>
            </m:r>
          </m:e>
          <m:sub>
            <m:r>
              <m:t>3</m:t>
            </m:r>
          </m:sub>
        </m:sSub>
        <m:r>
          <m:t>=18</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Cân nặng (g) của các quả bơ sáp thu hoạch ở một vườn được cho trong bảng sau. Tính khoảng tứ phân vị của mẫu số liệu ghép nhóm này (không làm tròn kết quả các phép tính trung gian, chỉ làm tròn kết quả cuối cùng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Cân nặng (g)</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[250; 300)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[300; 350)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[350; 400)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[400; 450)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[450; 500)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14</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2</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101 – TOÁN 12 – KIỂM TRA CHƯƠNG III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