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.... tháng .... năm ....</w:t>
      </w:r>
      <w:r>
        <w:rPr>
          <w:rFonts w:ascii="Times New Roman" w:hAnsi="Times New Roman"/>
          <w:sz w:val="24"/>
        </w:rPr>
        <w:t xml:space="preserve">    Họ và tên giáo viên: TTT</w:t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19 (THỰC HÀNH): Vẽ biểu đồ, nhận xét và giải thích tình hình phát triển ngành công nghiệp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34)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được biểu đồ, nhận xét và giải thích tình hình phát triển và chuyển dịch cơ cấu ngành công nghiệp Việt Nam.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xử lí số liệu thống kê; chọn và vẽ loại biểu đồ phù hợp.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phân tích xu hướng chuyển dịch cơ cấu công nghiệp, giải thích nguyên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kết kiến thức Bài 16–18 vào bài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tập trung hoàn thành bài tập vẽ biểu đồ trong giờ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trình bày bài làm cẩn thận, chính xác.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Sáng tạo: nhận xét biểu đồ đầy đủ, sâu sắc.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Cập nhật số liệu mới nhất từ gso.gov.vn cho bài thực hành.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NLc AI: Dùng AI kiểm tra nhận xét biểu đồ; đối chiếu và bổ sung ý kiến cá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Bảng số liệu giá trị sản xuất công nghiệp VN theo ngành 2005–2023.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Thước kẻ, compa, bút màu.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Ôn bài Bài 16–18; định hướng tiết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hỏi: 'Nêu 3 ngành CN có tốc độ tăng trưởng nhanh nhất của VN trong 10 năm qua.'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ôn bài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 nhanh.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trả lời miệng.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chuyển sang thực hành.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THỰC HÀNH – VẼ BIỂU ĐỒ (33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đúng loại biểu đồ; nhận xét đủ 3 bước (xu hướng → so sánh → giải thích); giải thích nguyên nhân.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NLc AI: Kiểm tra nhận xét bằng AI; đối chiếu và bổ sung.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thực hành: Cho số liệu cơ cấu giá trị sản xuất công nghiệp VN phân theo 3 nhóm ngành giai đoạn 2005–2023. Yêu cầu: (1) Chọn và vẽ biểu đồ thích hợp (biểu đồ cột chồng hoặc tròn nhiều năm); (2) Nhận xét xu hướng chuyển dịch; (3) Giải thích nguyên nhân.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Biểu đồ vẽ đúng kỹ thuật; nhận xét và giải thích đầy đủ.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bảng số liệu; hướng dẫn chọn loại biểu đồ (cột chồng % phù hợp khi so sánh cơ cấu nhiều năm).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 trong 20 phút, nhận xét trong 5 phút. Có thể dùng AI kiểm tra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3 bài tiêu biểu (đúng/sai kỹ thuật, nội dung nhận xét);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năng: vẽ biểu đồ cột chồng %; cấu trúc nhận xét chuẩn công nghiệp (tổng GTSX → từng ngành → giải thích). Chuẩn bị ôn tập cuối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– TỔNG KẾT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Hoàn thiện bài nhận xét và chuẩn bị ôn tập cuối kì.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tự đọc lại bài, bổ sung phần giải thích. GV nhắc nội dung ôn thi cuối kì I: Bài 1–19.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Bài nhận xét hoàn chỉnh; danh sách nội dung ôn tập.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yêu cầu HS hoàn thiện trong 3 phút; đồng thời công bố cấu trúc đề cuối kì.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hoàn thiện bài và ghi chép nội dung ôn tập.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1–2 HS đọc bài hoàn chỉnh.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nhận xét, tổng kết bài học và dặn ôn tập cuối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Rút ra bài học về định hướng công nghiệp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'Dựa vào xu hướng chuyển dịch cơ cấu công nghiệp VN, Gia Lai nên ưu tiên phát triển ngành CN nào để phù hợp với thế mạnh địa phương?'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nhận xét và kết thúc.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chúc HS ôn tập tốt cuối kì 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 – SỐ LIỆU THỰC HÀNH VÀ NHẬN XÉT MẪU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Số liệu: Cơ cấu giá trị SX công nghiệp VN (%) theo 3 nhóm: Khai khoáng | Chế biến chế tạo | Điện–nước–khí.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2005: 18,2% | 72,5% | 9,3%.  2010: 14,8% | 74,6% | 10,6%.  2015: 11,3% | 77,2% | 11,5%.  2020: 8,2% | 80,1% | 11,7%.  2023 (ước): 7,1% | 81,4% | 11,5%.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mẫu: Giai đoạn 2005–2023, cơ cấu GTSX CN VN chuyển dịch tích cực: ngành khai khoáng giảm mạnh (18,2% → 7,1%), ngành chế biến chế tạo tăng nhanh (72,5% → 81,4%), ngành điện–nước–khí tăng nhẹ. Giải thích: xu hướng CNH–HĐH, thu hút FDI vào CN điện tử–dệt may–ô tô, giảm dần phụ thuộc tài nguyên thô.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9355"/>
            <w:gridSpan w:val="2"/>
            <w:shd w:val="clear" w:color="auto" w:fill="1E40AF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4"/>
              </w:rPr>
              <w:t>Bài 19 (TH). Vẽ biểu đồ CN</w:t>
            </w:r>
          </w:p>
        </w:tc>
      </w:tr>
      <w:tr>
        <w:tc>
          <w:tcPr>
            <w:tcW w:type="dxa" w:w="2835"/>
            <w:shd w:val="clear" w:color="auto" w:fill="7C3AED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Chọn BD phù hợp</w:t>
            </w:r>
          </w:p>
        </w:tc>
        <w:tc>
          <w:tcPr>
            <w:tcW w:type="dxa" w:w="6520"/>
            <w:shd w:val="clear" w:color="auto" w:fill="EDE9FE"/>
          </w:tcPr>
          <w:p>
            <w:pPr>
              <w:spacing w:before="40" w:after="40"/>
              <w:jc w:val="left"/>
            </w:pPr>
            <w:r>
              <w:rPr>
                <w:color w:val="4C1D95"/>
                <w:sz w:val="22"/>
              </w:rPr>
              <w:t>Tròn: cơ cấu 1 năm  •  Cột nhóm: so sánh vùng  •  Miền: xu hướng</w:t>
            </w:r>
          </w:p>
        </w:tc>
      </w:tr>
      <w:tr>
        <w:tc>
          <w:tcPr>
            <w:tcW w:type="dxa" w:w="2835"/>
            <w:shd w:val="clear" w:color="auto" w:fill="065F46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Kĩ thuật vẽ BD CN</w:t>
            </w:r>
          </w:p>
        </w:tc>
        <w:tc>
          <w:tcPr>
            <w:tcW w:type="dxa" w:w="6520"/>
            <w:shd w:val="clear" w:color="auto" w:fill="D1FAE5"/>
          </w:tcPr>
          <w:p>
            <w:pPr>
              <w:spacing w:before="40" w:after="40"/>
              <w:jc w:val="left"/>
            </w:pPr>
            <w:r>
              <w:rPr>
                <w:color w:val="022C22"/>
                <w:sz w:val="22"/>
              </w:rPr>
              <w:t>Tên biểu đồ đầy đủ  •  Đơn vị trục tung  •  Chú giải màu</w:t>
            </w:r>
          </w:p>
        </w:tc>
      </w:tr>
      <w:tr>
        <w:tc>
          <w:tcPr>
            <w:tcW w:type="dxa" w:w="2835"/>
            <w:shd w:val="clear" w:color="auto" w:fill="B91C1C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Nhận xét 5 bước</w:t>
            </w:r>
          </w:p>
        </w:tc>
        <w:tc>
          <w:tcPr>
            <w:tcW w:type="dxa" w:w="6520"/>
            <w:shd w:val="clear" w:color="auto" w:fill="FEE2E2"/>
          </w:tcPr>
          <w:p>
            <w:pPr>
              <w:spacing w:before="40" w:after="40"/>
              <w:jc w:val="left"/>
            </w:pPr>
            <w:r>
              <w:rPr>
                <w:color w:val="450A0A"/>
                <w:sz w:val="22"/>
              </w:rPr>
              <w:t>Xu hướng chung  •  Cực trị–So sánh  •  Giải thích nguyên nhân</w:t>
            </w:r>
          </w:p>
        </w:tc>
      </w:tr>
      <w:tr>
        <w:tc>
          <w:tcPr>
            <w:tcW w:type="dxa" w:w="2835"/>
            <w:shd w:val="clear" w:color="auto" w:fill="B45309"/>
          </w:tcPr>
          <w:p>
            <w:pPr>
              <w:spacing w:before="40" w:after="40"/>
              <w:jc w:val="center"/>
            </w:pPr>
            <w:r>
              <w:rPr>
                <w:b/>
                <w:color w:val="FFFFFF"/>
                <w:sz w:val="22"/>
              </w:rPr>
              <w:t>Số liệu Bình Định</w:t>
            </w:r>
          </w:p>
        </w:tc>
        <w:tc>
          <w:tcPr>
            <w:tcW w:type="dxa" w:w="6520"/>
            <w:shd w:val="clear" w:color="auto" w:fill="FEF3C7"/>
          </w:tcPr>
          <w:p>
            <w:pPr>
              <w:spacing w:before="40" w:after="40"/>
              <w:jc w:val="left"/>
            </w:pPr>
            <w:r>
              <w:rPr>
                <w:color w:val="451A03"/>
                <w:sz w:val="22"/>
              </w:rPr>
              <w:t>GTSX CN theo ngành  •  Tỉ lệ FDI tại KKT  •  Điện tái tạo</w:t>
            </w:r>
          </w:p>
        </w:tc>
      </w:tr>
    </w:tbl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https://trangtu66.github.io/Taode_thi_online/dia_cc_bai19_k12.html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Ôn tập học kỳ 1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