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2"/>
        </w:rPr>
        <w:t>FREYA FOUNDATION v1.1</w:t>
      </w:r>
    </w:p>
    <w:p>
      <w:pPr>
        <w:jc w:val="center"/>
      </w:pPr>
      <w:r>
        <w:rPr>
          <w:color w:val="1F4E78"/>
          <w:sz w:val="36"/>
        </w:rPr>
        <w:t>System Architecture &amp; Design Specification</w:t>
      </w:r>
    </w:p>
    <w:p>
      <w:pPr>
        <w:jc w:val="center"/>
      </w:pPr>
      <w:r>
        <w:rPr>
          <w:i/>
          <w:sz w:val="22"/>
        </w:rPr>
        <w:t>Architecture Freeze Candidate — Revised after External Review (Claude)</w:t>
      </w:r>
    </w:p>
    <w:p/>
    <w:tbl>
      <w:tblPr>
        <w:tblStyle w:val="TableGrid"/>
        <w:tblW w:type="auto" w:w="0"/>
        <w:jc w:val="center"/>
        <w:tblLook w:firstColumn="1" w:firstRow="1" w:lastColumn="0" w:lastRow="0" w:noHBand="0" w:noVBand="1" w:val="04A0"/>
      </w:tblPr>
      <w:tblGrid>
        <w:gridCol w:w="2448"/>
        <w:gridCol w:w="7488"/>
      </w:tblGrid>
      <w:tr>
        <w:trPr>
          <w:tblHeader w:val="true"/>
        </w:trPr>
        <w:tc>
          <w:tcPr>
            <w:tcW w:type="dxa" w:w="2448"/>
            <w:shd w:fill="D9EAF7"/>
            <w:vAlign w:val="center"/>
          </w:tcPr>
          <w:p>
            <w:r>
              <w:rPr>
                <w:b/>
                <w:sz w:val="17"/>
              </w:rPr>
              <w:t>Field</w:t>
            </w:r>
          </w:p>
        </w:tc>
        <w:tc>
          <w:tcPr>
            <w:tcW w:type="dxa" w:w="7488"/>
            <w:shd w:fill="D9EAF7"/>
            <w:vAlign w:val="center"/>
          </w:tcPr>
          <w:p>
            <w:r>
              <w:rPr>
                <w:b/>
                <w:sz w:val="17"/>
              </w:rPr>
              <w:t>Value</w:t>
            </w:r>
          </w:p>
        </w:tc>
      </w:tr>
      <w:tr>
        <w:trPr>
          <w:cantSplit/>
        </w:trPr>
        <w:tc>
          <w:tcPr>
            <w:tcW w:type="dxa" w:w="2448"/>
            <w:vAlign w:val="top"/>
          </w:tcPr>
          <w:p>
            <w:pPr>
              <w:spacing w:after="20"/>
            </w:pPr>
            <w:r>
              <w:rPr>
                <w:sz w:val="16"/>
              </w:rPr>
              <w:t>Document status</w:t>
            </w:r>
          </w:p>
        </w:tc>
        <w:tc>
          <w:tcPr>
            <w:tcW w:type="dxa" w:w="7488"/>
            <w:vAlign w:val="top"/>
          </w:tcPr>
          <w:p>
            <w:pPr>
              <w:spacing w:after="20"/>
            </w:pPr>
            <w:r>
              <w:rPr>
                <w:sz w:val="16"/>
              </w:rPr>
              <w:t>Foundation v1.1 architecture freeze candidate (revision of v1 incorporating Claude adversarial review)</w:t>
            </w:r>
          </w:p>
        </w:tc>
      </w:tr>
      <w:tr>
        <w:trPr>
          <w:cantSplit/>
        </w:trPr>
        <w:tc>
          <w:tcPr>
            <w:tcW w:type="dxa" w:w="2448"/>
            <w:vAlign w:val="top"/>
          </w:tcPr>
          <w:p>
            <w:pPr>
              <w:spacing w:after="20"/>
            </w:pPr>
            <w:r>
              <w:rPr>
                <w:sz w:val="16"/>
              </w:rPr>
              <w:t>Purpose</w:t>
            </w:r>
          </w:p>
        </w:tc>
        <w:tc>
          <w:tcPr>
            <w:tcW w:type="dxa" w:w="7488"/>
            <w:vAlign w:val="top"/>
          </w:tcPr>
          <w:p>
            <w:pPr>
              <w:spacing w:after="20"/>
            </w:pPr>
            <w:r>
              <w:rPr>
                <w:sz w:val="16"/>
              </w:rPr>
              <w:t>Independent architecture/security/implementation review before Foundation v1 implementation</w:t>
            </w:r>
          </w:p>
        </w:tc>
      </w:tr>
      <w:tr>
        <w:trPr>
          <w:cantSplit/>
        </w:trPr>
        <w:tc>
          <w:tcPr>
            <w:tcW w:type="dxa" w:w="2448"/>
            <w:vAlign w:val="top"/>
          </w:tcPr>
          <w:p>
            <w:pPr>
              <w:spacing w:after="20"/>
            </w:pPr>
            <w:r>
              <w:rPr>
                <w:sz w:val="16"/>
              </w:rPr>
              <w:t>Primary deployment</w:t>
            </w:r>
          </w:p>
        </w:tc>
        <w:tc>
          <w:tcPr>
            <w:tcW w:type="dxa" w:w="7488"/>
            <w:vAlign w:val="top"/>
          </w:tcPr>
          <w:p>
            <w:pPr>
              <w:spacing w:after="20"/>
            </w:pPr>
            <w:r>
              <w:rPr>
                <w:sz w:val="16"/>
              </w:rPr>
              <w:t>Single Windows 11 workstation with RTX 4090; scale-out path to heterogeneous Linux/Windows rack</w:t>
            </w:r>
          </w:p>
        </w:tc>
      </w:tr>
      <w:tr>
        <w:trPr>
          <w:cantSplit/>
        </w:trPr>
        <w:tc>
          <w:tcPr>
            <w:tcW w:type="dxa" w:w="2448"/>
            <w:vAlign w:val="top"/>
          </w:tcPr>
          <w:p>
            <w:pPr>
              <w:spacing w:after="20"/>
            </w:pPr>
            <w:r>
              <w:rPr>
                <w:sz w:val="16"/>
              </w:rPr>
              <w:t>Review targets</w:t>
            </w:r>
          </w:p>
        </w:tc>
        <w:tc>
          <w:tcPr>
            <w:tcW w:type="dxa" w:w="7488"/>
            <w:vAlign w:val="top"/>
          </w:tcPr>
          <w:p>
            <w:pPr>
              <w:spacing w:after="20"/>
            </w:pPr>
            <w:r>
              <w:rPr>
                <w:sz w:val="16"/>
              </w:rPr>
              <w:t>Claude Code, Codex, human engineering/security reviewers</w:t>
            </w:r>
          </w:p>
        </w:tc>
      </w:tr>
      <w:tr>
        <w:trPr>
          <w:cantSplit/>
        </w:trPr>
        <w:tc>
          <w:tcPr>
            <w:tcW w:type="dxa" w:w="2448"/>
            <w:vAlign w:val="top"/>
          </w:tcPr>
          <w:p>
            <w:pPr>
              <w:spacing w:after="20"/>
            </w:pPr>
            <w:r>
              <w:rPr>
                <w:sz w:val="16"/>
              </w:rPr>
              <w:t>Normative language</w:t>
            </w:r>
          </w:p>
        </w:tc>
        <w:tc>
          <w:tcPr>
            <w:tcW w:type="dxa" w:w="7488"/>
            <w:vAlign w:val="top"/>
          </w:tcPr>
          <w:p>
            <w:pPr>
              <w:spacing w:after="20"/>
            </w:pPr>
            <w:r>
              <w:rPr>
                <w:sz w:val="16"/>
              </w:rPr>
              <w:t>MUST / SHOULD / MAY as defined in RFC-style requirement language</w:t>
            </w:r>
          </w:p>
        </w:tc>
      </w:tr>
      <w:tr>
        <w:trPr>
          <w:cantSplit/>
        </w:trPr>
        <w:tc>
          <w:tcPr>
            <w:tcW w:type="dxa" w:w="2448"/>
            <w:vAlign w:val="top"/>
          </w:tcPr>
          <w:p>
            <w:pPr>
              <w:spacing w:after="20"/>
            </w:pPr>
            <w:r>
              <w:rPr>
                <w:sz w:val="16"/>
              </w:rPr>
              <w:t>Revision markers</w:t>
            </w:r>
          </w:p>
        </w:tc>
        <w:tc>
          <w:tcPr>
            <w:tcW w:type="dxa" w:w="7488"/>
            <w:vAlign w:val="top"/>
          </w:tcPr>
          <w:p>
            <w:pPr>
              <w:spacing w:after="20"/>
            </w:pPr>
            <w:r>
              <w:rPr>
                <w:sz w:val="16"/>
              </w:rPr>
              <w:t>Requirements and table rows added in v1.1 carry a grey 'new v1.1' marker; changed ones carry 'changed v1.1'. Appendix B traces every change to the review finding that motivated it</w:t>
            </w:r>
          </w:p>
        </w:tc>
      </w:tr>
      <w:tr>
        <w:trPr>
          <w:cantSplit/>
        </w:trPr>
        <w:tc>
          <w:tcPr>
            <w:tcW w:type="dxa" w:w="2448"/>
            <w:vAlign w:val="top"/>
          </w:tcPr>
          <w:p>
            <w:pPr>
              <w:spacing w:after="20"/>
            </w:pPr>
            <w:r>
              <w:rPr>
                <w:sz w:val="16"/>
              </w:rPr>
              <w:t>Date</w:t>
            </w:r>
          </w:p>
        </w:tc>
        <w:tc>
          <w:tcPr>
            <w:tcW w:type="dxa" w:w="7488"/>
            <w:vAlign w:val="top"/>
          </w:tcPr>
          <w:p>
            <w:pPr>
              <w:spacing w:after="20"/>
            </w:pPr>
            <w:r>
              <w:rPr>
                <w:sz w:val="16"/>
              </w:rPr>
              <w:t>2026-10-07</w:t>
            </w:r>
          </w:p>
        </w:tc>
      </w:tr>
    </w:tbl>
    <w:p/>
    <w:p/>
    <w:p>
      <w:pPr>
        <w:jc w:val="center"/>
      </w:pPr>
      <w:r>
        <w:rPr>
          <w:b/>
          <w:sz w:val="24"/>
        </w:rPr>
        <w:t>Design principle</w:t>
      </w:r>
    </w:p>
    <w:p>
      <w:pPr>
        <w:jc w:val="center"/>
      </w:pPr>
      <w:r>
        <w:rPr>
          <w:i/>
        </w:rPr>
        <w:t>Freya owns the semantics, governance, contracts, and intelligence. Mature infrastructure is integrated behind replaceable providers wherever practical.</w:t>
      </w:r>
    </w:p>
    <w:p>
      <w:r>
        <w:br w:type="page"/>
      </w:r>
    </w:p>
    <w:p>
      <w:pPr>
        <w:pStyle w:val="Heading1"/>
      </w:pPr>
      <w:r>
        <w:t>1. Executive Summary</w:t>
      </w:r>
    </w:p>
    <w:p>
      <w:r>
        <w:t>Freya is a local-first, modular, multi-user, agentic computing platform intended to operate from a single workstation through a heterogeneous multi-node home-lab or rack without changing its fundamental Core contracts. It is not defined by a particular LLM, agent framework, GUI, voice engine, database, scheduler, accelerator vendor, automation platform, or cloud service. Those are replaceable providers or clients.</w:t>
      </w:r>
    </w:p>
    <w:p>
      <w:r>
        <w:t>Foundation v1 establishes the contracts and security boundaries required to preserve that independence. The initial alpha is deliberately smaller than the eventual architecture: it may run on one Windows workstation using local execution and Ollama, while exposing the same provider, capability, policy, resource, context, identity, audit, and client contracts that later admit distributed infrastructure.</w:t>
      </w:r>
    </w:p>
    <w:p>
      <w:r>
        <w:rPr>
          <w:b/>
        </w:rPr>
        <w:t>v1.1 focus.</w:t>
      </w:r>
      <w:r>
        <w:t xml:space="preserve"> The v1.1 revision strengthens the contracts that make an agentic system safe in practice — untrusted content and prompt injection (§6.3), execution isolation on Windows (§6.4), task-scoped delegation (§6.5), human approval (§6.6), and agent runtime containment (§11.1) — and moves federation and rack-scale requirements that cannot be exercised in Foundation v1 into Appendix A.</w:t>
      </w:r>
    </w:p>
    <w:p>
      <w:pPr>
        <w:pStyle w:val="Heading2"/>
      </w:pPr>
      <w:r>
        <w:t>1.1 Freya-owned semantics</w:t>
      </w:r>
    </w:p>
    <w:p>
      <w:pPr>
        <w:pStyle w:val="ListBullet"/>
      </w:pPr>
      <w:r>
        <w:t>Capability Model and Capability Broker semantics.</w:t>
      </w:r>
    </w:p>
    <w:p>
      <w:pPr>
        <w:pStyle w:val="ListBullet"/>
      </w:pPr>
      <w:r>
        <w:t>Security, authorization, user, security-domain, sovereignty, and federation semantics.</w:t>
      </w:r>
    </w:p>
    <w:p>
      <w:pPr>
        <w:pStyle w:val="ListBullet"/>
      </w:pPr>
      <w:r>
        <w:t>Delegation and human-approval semantics: what an agent may do on a user's behalf, for how long, and when a human must confirm.</w:t>
      </w:r>
      <w:r>
        <w:rPr>
          <w:i/>
          <w:color w:val="7F7F7F"/>
          <w:sz w:val="16"/>
        </w:rPr>
        <w:t xml:space="preserve"> [new v1.1]</w:t>
      </w:r>
    </w:p>
    <w:p>
      <w:pPr>
        <w:pStyle w:val="ListBullet"/>
      </w:pPr>
      <w:r>
        <w:t>Provider contracts, lifecycle, discovery, health, and graceful degradation semantics.</w:t>
      </w:r>
    </w:p>
    <w:p>
      <w:pPr>
        <w:pStyle w:val="ListBullet"/>
      </w:pPr>
      <w:r>
        <w:t>Context Authority: what memory, knowledge, tools, files, and system state a task or agent may receive, and with what trust label.</w:t>
      </w:r>
    </w:p>
    <w:p>
      <w:pPr>
        <w:pStyle w:val="ListBullet"/>
      </w:pPr>
      <w:r>
        <w:t>Resource Intelligence: normalized resources plus higher-level placement/resource policy.</w:t>
      </w:r>
    </w:p>
    <w:p>
      <w:pPr>
        <w:pStyle w:val="ListBullet"/>
      </w:pPr>
      <w:r>
        <w:t>Goal orchestration semantics: plan, authorize, execute, observe, verify, replan, escalate, stop.</w:t>
      </w:r>
    </w:p>
    <w:p>
      <w:pPr>
        <w:pStyle w:val="ListBullet"/>
      </w:pPr>
      <w:r>
        <w:t>Client Gateway contract for multiple simultaneous and custom GUIs.</w:t>
      </w:r>
    </w:p>
    <w:p>
      <w:pPr>
        <w:pStyle w:val="Heading2"/>
      </w:pPr>
      <w:r>
        <w:t>1.2 Infrastructure integration doctrine</w:t>
      </w:r>
    </w:p>
    <w:p>
      <w:r>
        <w:t>Before implementing infrastructure functionality internally, the project must document why a mature existing system cannot satisfy the requirement through integration, adaptation, extension, or a provider. Integration does not transfer Freya's governance authority to the integrated system.</w:t>
      </w:r>
    </w:p>
    <w:p>
      <w:r>
        <w:rPr>
          <w:b/>
          <w:color w:val="C00000"/>
        </w:rPr>
        <w:t xml:space="preserve">ARCH-001 — MUST: </w:t>
      </w:r>
      <w:r>
        <w:t>Treat every external runtime, model server, scheduler, database, GUI, agent framework, automation system, and infrastructure service as replaceable unless explicitly designated part of Freya Core by an approved architecture decision.</w:t>
      </w:r>
    </w:p>
    <w:p>
      <w:r>
        <w:rPr>
          <w:b/>
          <w:color w:val="C00000"/>
        </w:rPr>
        <w:t xml:space="preserve">ARCH-002 — MUST: </w:t>
      </w:r>
      <w:r>
        <w:t>Prevent optional provider removal, crash, upgrade, or incompatibility from causing unrelated capabilities to fail. A capability is "unrelated" to a provider when it does not depend on that provider, directly or transitively, in the declared dependency graph (PROV-001, EXT-001). Crash containment applies to out-of-process providers; see PROV-004.</w:t>
      </w:r>
      <w:r>
        <w:rPr>
          <w:i/>
          <w:color w:val="7F7F7F"/>
          <w:sz w:val="16"/>
        </w:rPr>
        <w:t xml:space="preserve"> [changed v1.1]</w:t>
      </w:r>
    </w:p>
    <w:p>
      <w:r>
        <w:rPr>
          <w:b/>
          <w:color w:val="C00000"/>
        </w:rPr>
        <w:t xml:space="preserve">ARCH-003 — MUST: </w:t>
      </w:r>
      <w:r>
        <w:t>Keep Foundation v1 implementable on the current single workstation without requiring future rack infrastructure.</w:t>
      </w:r>
    </w:p>
    <w:p>
      <w:pPr>
        <w:pStyle w:val="Heading2"/>
      </w:pPr>
      <w:r>
        <w:t>1.3 High-level architecture</w:t>
      </w:r>
    </w:p>
    <w:p>
      <w:pPr>
        <w:pStyle w:val="CodeBlock"/>
      </w:pPr>
      <w:r>
        <w:t>Human / Device Interfaces</w:t>
        <w:br/>
        <w:t xml:space="preserve">  Desktop | Web | Mobile | Voice | Avatar | Admin | Custom GUI</w:t>
        <w:br/>
        <w:t xml:space="preserve">          |</w:t>
        <w:br/>
        <w:t xml:space="preserve">     Client Gateway  (loopback-only in v1)</w:t>
        <w:br/>
        <w:t xml:space="preserve">          |</w:t>
        <w:br/>
        <w:t>===================== FREYA CORE =====================</w:t>
        <w:br/>
        <w:t xml:space="preserve">  Identity | Governance | Policy Semantics | Audit</w:t>
        <w:br/>
        <w:t xml:space="preserve">  Users | Security Domains | Federation | Trust</w:t>
        <w:br/>
        <w:t xml:space="preserve">  Delegation | Approvals | Capability Model | Provider Contracts</w:t>
        <w:br/>
        <w:t xml:space="preserve">          |</w:t>
        <w:br/>
        <w:t>================= FREYA KERNEL SERVICES ==============</w:t>
        <w:br/>
        <w:t xml:space="preserve">  Capability Broker | Context Authority | Resource Intelligence</w:t>
        <w:br/>
        <w:t xml:space="preserve">  Scheduler | Goal Orchestration | Session/Memory/Knowledge Services</w:t>
        <w:br/>
        <w:t xml:space="preserve">          |</w:t>
        <w:br/>
        <w:t>===================== PROVIDERS ========================</w:t>
        <w:br/>
        <w:t xml:space="preserve">  Agent runtimes (contained) | Model runtimes | Memory | Search | Browser | CAD</w:t>
        <w:br/>
        <w:t xml:space="preserve">  Voice | Media | Automation | Durable workflow | Messaging | Secrets</w:t>
        <w:br/>
        <w:t xml:space="preserve">  Isolation | Distributed execution | Observability | Backup | etc.</w:t>
        <w:br/>
        <w:t xml:space="preserve">          |</w:t>
        <w:br/>
        <w:t>================ EXECUTION / HARDWARE ==================</w:t>
        <w:br/>
        <w:t xml:space="preserve">  Windows workstation | WSL2 sandbox | Linux rack | GPUs | CPUs | storage</w:t>
        <w:br/>
        <w:t xml:space="preserve">  devices | printers | CNC | phones | home/grow hardware | future accelerators</w:t>
      </w:r>
    </w:p>
    <w:p>
      <w:pPr>
        <w:pStyle w:val="Heading1"/>
      </w:pPr>
      <w:r>
        <w:t>2. Scope, Goals, and Non-Goals</w:t>
      </w:r>
    </w:p>
    <w:p>
      <w:pPr>
        <w:pStyle w:val="Heading2"/>
      </w:pPr>
      <w:r>
        <w:t>2.1 Goals</w:t>
      </w:r>
    </w:p>
    <w:p>
      <w:pPr>
        <w:pStyle w:val="ListBullet"/>
      </w:pPr>
      <w:r>
        <w:t>Local ownership and useful offline operation.</w:t>
      </w:r>
    </w:p>
    <w:p>
      <w:pPr>
        <w:pStyle w:val="ListBullet"/>
      </w:pPr>
      <w:r>
        <w:t>Scale independence from one RTX 4090 workstation to heterogeneous multi-node deployments.</w:t>
      </w:r>
    </w:p>
    <w:p>
      <w:pPr>
        <w:pStyle w:val="ListBullet"/>
      </w:pPr>
      <w:r>
        <w:t>Multi-user isolation and role/capability-based authorization from the beginning.</w:t>
      </w:r>
    </w:p>
    <w:p>
      <w:pPr>
        <w:pStyle w:val="ListBullet"/>
      </w:pPr>
      <w:r>
        <w:t>Provider and orchestration replaceability, including intelligence-layer components.</w:t>
      </w:r>
    </w:p>
    <w:p>
      <w:pPr>
        <w:pStyle w:val="ListBullet"/>
      </w:pPr>
      <w:r>
        <w:t>Graceful degradation and explicit capability-gap reporting.</w:t>
      </w:r>
    </w:p>
    <w:p>
      <w:pPr>
        <w:pStyle w:val="ListBullet"/>
      </w:pPr>
      <w:r>
        <w:t>Strong security boundaries for agents, generated code, secrets, physical actions, untrusted content, and federation.</w:t>
      </w:r>
    </w:p>
    <w:p>
      <w:pPr>
        <w:pStyle w:val="ListBullet"/>
      </w:pPr>
      <w:r>
        <w:t>Support multiple simultaneous first-party and third-party/custom GUIs.</w:t>
      </w:r>
    </w:p>
    <w:p>
      <w:pPr>
        <w:pStyle w:val="ListBullet"/>
      </w:pPr>
      <w:r>
        <w:t>Resource-aware model/workload placement, including VRAM load/unload behavior.</w:t>
      </w:r>
    </w:p>
    <w:p>
      <w:pPr>
        <w:pStyle w:val="ListBullet"/>
      </w:pPr>
      <w:r>
        <w:t>Commercially viable architecture with explicit third-party licensing/provenance controls, including model weights.</w:t>
      </w:r>
    </w:p>
    <w:p>
      <w:pPr>
        <w:pStyle w:val="ListBullet"/>
      </w:pPr>
      <w:r>
        <w:t>Auditable, testable, reproducible deployment and self-development workflows.</w:t>
      </w:r>
    </w:p>
    <w:p>
      <w:pPr>
        <w:pStyle w:val="Heading2"/>
      </w:pPr>
      <w:r>
        <w:t>2.2 Non-goals for Foundation v1 implementation</w:t>
      </w:r>
    </w:p>
    <w:p>
      <w:pPr>
        <w:pStyle w:val="ListBullet"/>
      </w:pPr>
      <w:r>
        <w:t>Installing every future provider on the first workstation.</w:t>
      </w:r>
    </w:p>
    <w:p>
      <w:pPr>
        <w:pStyle w:val="ListBullet"/>
      </w:pPr>
      <w:r>
        <w:t>Building a complete Kubernetes/rack deployment before single-node alpha.</w:t>
      </w:r>
    </w:p>
    <w:p>
      <w:pPr>
        <w:pStyle w:val="ListBullet"/>
      </w:pPr>
      <w:r>
        <w:t>Training a frontier foundation model.</w:t>
      </w:r>
    </w:p>
    <w:p>
      <w:pPr>
        <w:pStyle w:val="ListBullet"/>
      </w:pPr>
      <w:r>
        <w:t>Replacing mature infrastructure merely to make it Freya-branded.</w:t>
      </w:r>
    </w:p>
    <w:p>
      <w:pPr>
        <w:pStyle w:val="ListBullet"/>
      </w:pPr>
      <w:r>
        <w:t>Granting autonomous agents unrestricted authority over Core, secrets, host OS, physical devices, or other security domains.</w:t>
      </w:r>
    </w:p>
    <w:p>
      <w:pPr>
        <w:pStyle w:val="ListBullet"/>
      </w:pPr>
      <w:r>
        <w:t>Making one GUI, one LLM, one agent framework, or one database synonymous with Freya.</w:t>
      </w:r>
    </w:p>
    <w:p>
      <w:pPr>
        <w:pStyle w:val="ListBullet"/>
      </w:pPr>
      <w:r>
        <w:t>Implementing federation between independently administered Freya systems. Federation invariants are recorded in Appendix A so v1 contracts do not preclude them.</w:t>
      </w:r>
      <w:r>
        <w:rPr>
          <w:i/>
          <w:color w:val="7F7F7F"/>
          <w:sz w:val="16"/>
        </w:rPr>
        <w:t xml:space="preserve"> [new v1.1]</w:t>
      </w:r>
    </w:p>
    <w:p>
      <w:pPr>
        <w:pStyle w:val="ListBullet"/>
      </w:pPr>
      <w:r>
        <w:t>Relying on model behavior (prompt wording, "ignore injected instructions" instructions) as a security control.</w:t>
      </w:r>
      <w:r>
        <w:rPr>
          <w:i/>
          <w:color w:val="7F7F7F"/>
          <w:sz w:val="16"/>
        </w:rPr>
        <w:t xml:space="preserve"> [new v1.1]</w:t>
      </w:r>
    </w:p>
    <w:p>
      <w:pPr>
        <w:pStyle w:val="Heading1"/>
      </w:pPr>
      <w:r>
        <w:t>3. Normative Architectural Principles</w:t>
      </w:r>
    </w:p>
    <w:p>
      <w:r>
        <w:rPr>
          <w:b/>
          <w:color w:val="C00000"/>
        </w:rPr>
        <w:t xml:space="preserve">ARCH-010 — MUST: </w:t>
      </w:r>
      <w:r>
        <w:t>Capability-first coupling: components request named/versioned capabilities rather than calling provider implementations directly.</w:t>
      </w:r>
    </w:p>
    <w:p>
      <w:r>
        <w:rPr>
          <w:b/>
          <w:color w:val="C00000"/>
        </w:rPr>
        <w:t xml:space="preserve">ARCH-011 — MUST: </w:t>
      </w:r>
      <w:r>
        <w:t>Provider replaceability: provider implementations are discovered/registered behind stable contracts.</w:t>
      </w:r>
    </w:p>
    <w:p>
      <w:r>
        <w:rPr>
          <w:b/>
          <w:color w:val="C00000"/>
        </w:rPr>
        <w:t xml:space="preserve">ARCH-012 — MUST: </w:t>
      </w:r>
      <w:r>
        <w:t>Orchestration replaceability: planner, reasoning engine, model router, context builder, workflow engine, verifier, and learning components must be replaceable or independently evolvable. Verified by contract tests that substitute each component with a test double.</w:t>
      </w:r>
      <w:r>
        <w:rPr>
          <w:i/>
          <w:color w:val="7F7F7F"/>
          <w:sz w:val="16"/>
        </w:rPr>
        <w:t xml:space="preserve"> [changed v1.1]</w:t>
      </w:r>
    </w:p>
    <w:p>
      <w:r>
        <w:rPr>
          <w:b/>
          <w:color w:val="C00000"/>
        </w:rPr>
        <w:t xml:space="preserve">ARCH-013 — MUST: </w:t>
      </w:r>
      <w:r>
        <w:t>Least privilege: permissions are granted to the minimum user/workload/client/provider/task scope required.</w:t>
      </w:r>
    </w:p>
    <w:p>
      <w:r>
        <w:rPr>
          <w:b/>
          <w:color w:val="C00000"/>
        </w:rPr>
        <w:t xml:space="preserve">ARCH-014 — MUST: </w:t>
      </w:r>
      <w:r>
        <w:t>Fail closed for authorization and identity uncertainty; never silently widen authority because a policy/identity service is unavailable.</w:t>
      </w:r>
    </w:p>
    <w:p>
      <w:r>
        <w:rPr>
          <w:b/>
          <w:color w:val="C00000"/>
        </w:rPr>
        <w:t xml:space="preserve">ARCH-015 — MUST: </w:t>
      </w:r>
      <w:r>
        <w:t>Context flows downward; authority does not flow upward. Agent runtimes receive authorized context and capabilities but do not become policy authorities. Content an agent reads never becomes a source of authority (§6.3).</w:t>
      </w:r>
      <w:r>
        <w:rPr>
          <w:i/>
          <w:color w:val="7F7F7F"/>
          <w:sz w:val="16"/>
        </w:rPr>
        <w:t xml:space="preserve"> [changed v1.1]</w:t>
      </w:r>
    </w:p>
    <w:p>
      <w:r>
        <w:rPr>
          <w:b/>
          <w:color w:val="C00000"/>
        </w:rPr>
        <w:t xml:space="preserve">ARCH-016 — MUST: </w:t>
      </w:r>
      <w:r>
        <w:t>No invisible dependency: optional dependencies, permissions, resources, network needs, license, failure behavior, and health must be declared.</w:t>
      </w:r>
    </w:p>
    <w:p>
      <w:r>
        <w:rPr>
          <w:b/>
          <w:color w:val="C00000"/>
        </w:rPr>
        <w:t xml:space="preserve">ARCH-017 — MUST: </w:t>
      </w:r>
      <w:r>
        <w:t>Generated or untrusted code must never execute as a host process or inside the trusted Freya Core runtime; it executes only inside an IsolationProvider sandbox (§6.4).</w:t>
      </w:r>
      <w:r>
        <w:rPr>
          <w:i/>
          <w:color w:val="7F7F7F"/>
          <w:sz w:val="16"/>
        </w:rPr>
        <w:t xml:space="preserve"> [changed v1.1]</w:t>
      </w:r>
    </w:p>
    <w:p>
      <w:r>
        <w:rPr>
          <w:b/>
          <w:color w:val="C00000"/>
        </w:rPr>
        <w:t xml:space="preserve">ARCH-018 — MUST: </w:t>
      </w:r>
      <w:r>
        <w:t>Network connectivity, workload identity, authorization, and administrative authority are distinct concepts.</w:t>
      </w:r>
    </w:p>
    <w:p>
      <w:r>
        <w:rPr>
          <w:b/>
          <w:color w:val="C00000"/>
        </w:rPr>
        <w:t xml:space="preserve">ARCH-019 — MUST: </w:t>
      </w:r>
      <w:r>
        <w:t>A provider, agent runtime, or GUI cannot bypass the Capability Broker/authorization path for protected actions. This is enforced by isolation and network policy, not by convention (§11.1).</w:t>
      </w:r>
      <w:r>
        <w:rPr>
          <w:i/>
          <w:color w:val="7F7F7F"/>
          <w:sz w:val="16"/>
        </w:rPr>
        <w:t xml:space="preserve"> [changed v1.1]</w:t>
      </w:r>
    </w:p>
    <w:p>
      <w:r>
        <w:rPr>
          <w:b/>
          <w:color w:val="BF9000"/>
        </w:rPr>
        <w:t xml:space="preserve">ARCH-020 — SHOULD: </w:t>
      </w:r>
      <w:r>
        <w:t>Prefer deterministic/native APIs, MCP, or CLI automation over GUI computer-use; use computer-use as a fallback where appropriate.</w:t>
      </w:r>
    </w:p>
    <w:p>
      <w:r>
        <w:rPr>
          <w:b/>
          <w:color w:val="BF9000"/>
        </w:rPr>
        <w:t xml:space="preserve">ARCH-021 — SHOULD: </w:t>
      </w:r>
      <w:r>
        <w:t>Prefer open standards and interoperable telemetry/protocols over proprietary internal formats when they meet requirements.</w:t>
      </w:r>
    </w:p>
    <w:p>
      <w:r>
        <w:rPr>
          <w:b/>
          <w:color w:val="BF9000"/>
        </w:rPr>
        <w:t xml:space="preserve">ARCH-022 — SHOULD: </w:t>
      </w:r>
      <w:r>
        <w:t>Use empirical benchmark/health data rather than hard-coded vendor assumptions for routing where practical.</w:t>
      </w:r>
    </w:p>
    <w:p>
      <w:r>
        <w:rPr>
          <w:b/>
          <w:color w:val="C00000"/>
        </w:rPr>
        <w:t xml:space="preserve">ARCH-023 — MUST: </w:t>
      </w:r>
      <w:r>
        <w:t>Agents cannot modify Freya Core code, policy, configuration, capability definitions, provider/extension manifests, or their own grants. Agent-authored changes to these are proposals that take effect only after human review and the normal versioned release path (OPS-001).</w:t>
      </w:r>
      <w:r>
        <w:rPr>
          <w:i/>
          <w:color w:val="7F7F7F"/>
          <w:sz w:val="16"/>
        </w:rPr>
        <w:t xml:space="preserve"> [new v1.1]</w:t>
      </w:r>
    </w:p>
    <w:p>
      <w:pPr>
        <w:pStyle w:val="Heading1"/>
      </w:pPr>
      <w:r>
        <w:t>4. Component Model and Ownership Boundaries</w:t>
      </w:r>
    </w:p>
    <w:tbl>
      <w:tblPr>
        <w:tblStyle w:val="TableGrid"/>
        <w:tblW w:type="auto" w:w="0"/>
        <w:jc w:val="center"/>
        <w:tblLook w:firstColumn="1" w:firstRow="1" w:lastColumn="0" w:lastRow="0" w:noHBand="0" w:noVBand="1" w:val="04A0"/>
      </w:tblPr>
      <w:tblGrid>
        <w:gridCol w:w="2016"/>
        <w:gridCol w:w="4032"/>
        <w:gridCol w:w="4032"/>
      </w:tblGrid>
      <w:tr>
        <w:trPr>
          <w:tblHeader w:val="true"/>
        </w:trPr>
        <w:tc>
          <w:tcPr>
            <w:tcW w:type="dxa" w:w="2016"/>
            <w:shd w:fill="D9EAF7"/>
            <w:vAlign w:val="center"/>
          </w:tcPr>
          <w:p>
            <w:r>
              <w:rPr>
                <w:b/>
                <w:sz w:val="17"/>
              </w:rPr>
              <w:t>Layer</w:t>
            </w:r>
          </w:p>
        </w:tc>
        <w:tc>
          <w:tcPr>
            <w:tcW w:type="dxa" w:w="4032"/>
            <w:shd w:fill="D9EAF7"/>
            <w:vAlign w:val="center"/>
          </w:tcPr>
          <w:p>
            <w:r>
              <w:rPr>
                <w:b/>
                <w:sz w:val="17"/>
              </w:rPr>
              <w:t>Freya-owned responsibility</w:t>
            </w:r>
          </w:p>
        </w:tc>
        <w:tc>
          <w:tcPr>
            <w:tcW w:type="dxa" w:w="4032"/>
            <w:shd w:fill="D9EAF7"/>
            <w:vAlign w:val="center"/>
          </w:tcPr>
          <w:p>
            <w:r>
              <w:rPr>
                <w:b/>
                <w:sz w:val="17"/>
              </w:rPr>
              <w:t>Replaceable implementations/examples</w:t>
            </w:r>
          </w:p>
        </w:tc>
      </w:tr>
      <w:tr>
        <w:trPr>
          <w:cantSplit/>
        </w:trPr>
        <w:tc>
          <w:tcPr>
            <w:tcW w:type="dxa" w:w="2016"/>
            <w:vAlign w:val="top"/>
          </w:tcPr>
          <w:p>
            <w:pPr>
              <w:spacing w:after="20"/>
            </w:pPr>
            <w:r>
              <w:rPr>
                <w:sz w:val="16"/>
              </w:rPr>
              <w:t>Experience</w:t>
            </w:r>
          </w:p>
        </w:tc>
        <w:tc>
          <w:tcPr>
            <w:tcW w:type="dxa" w:w="4032"/>
            <w:vAlign w:val="top"/>
          </w:tcPr>
          <w:p>
            <w:pPr>
              <w:spacing w:after="20"/>
            </w:pPr>
            <w:r>
              <w:rPr>
                <w:sz w:val="16"/>
              </w:rPr>
              <w:t>Client contracts, authenticated sessions, capability exposure rules, approval presentation</w:t>
            </w:r>
          </w:p>
        </w:tc>
        <w:tc>
          <w:tcPr>
            <w:tcW w:type="dxa" w:w="4032"/>
            <w:vAlign w:val="top"/>
          </w:tcPr>
          <w:p>
            <w:pPr>
              <w:spacing w:after="20"/>
            </w:pPr>
            <w:r>
              <w:rPr>
                <w:sz w:val="16"/>
              </w:rPr>
              <w:t>Desktop/web/mobile/admin/grow/rack/custom GUI, voice/avatar</w:t>
            </w:r>
          </w:p>
        </w:tc>
      </w:tr>
      <w:tr>
        <w:trPr>
          <w:cantSplit/>
        </w:trPr>
        <w:tc>
          <w:tcPr>
            <w:tcW w:type="dxa" w:w="2016"/>
            <w:vAlign w:val="top"/>
          </w:tcPr>
          <w:p>
            <w:pPr>
              <w:spacing w:after="20"/>
            </w:pPr>
            <w:r>
              <w:rPr>
                <w:sz w:val="16"/>
              </w:rPr>
              <w:t>Core</w:t>
            </w:r>
          </w:p>
        </w:tc>
        <w:tc>
          <w:tcPr>
            <w:tcW w:type="dxa" w:w="4032"/>
            <w:vAlign w:val="top"/>
          </w:tcPr>
          <w:p>
            <w:pPr>
              <w:spacing w:after="20"/>
            </w:pPr>
            <w:r>
              <w:rPr>
                <w:sz w:val="16"/>
              </w:rPr>
              <w:t>Identity semantics, governance, sovereignty, policy semantics, delegation, approvals, audit authority, security domains</w:t>
            </w:r>
          </w:p>
        </w:tc>
        <w:tc>
          <w:tcPr>
            <w:tcW w:type="dxa" w:w="4032"/>
            <w:vAlign w:val="top"/>
          </w:tcPr>
          <w:p>
            <w:pPr>
              <w:spacing w:after="20"/>
            </w:pPr>
            <w:r>
              <w:rPr>
                <w:sz w:val="16"/>
              </w:rPr>
              <w:t>Core code; OPA may evaluate policy post-v1 but does not define Freya governance</w:t>
            </w:r>
          </w:p>
        </w:tc>
      </w:tr>
      <w:tr>
        <w:trPr>
          <w:cantSplit/>
        </w:trPr>
        <w:tc>
          <w:tcPr>
            <w:tcW w:type="dxa" w:w="2016"/>
            <w:vAlign w:val="top"/>
          </w:tcPr>
          <w:p>
            <w:pPr>
              <w:spacing w:after="20"/>
            </w:pPr>
            <w:r>
              <w:rPr>
                <w:sz w:val="16"/>
              </w:rPr>
              <w:t>Kernel services</w:t>
            </w:r>
          </w:p>
        </w:tc>
        <w:tc>
          <w:tcPr>
            <w:tcW w:type="dxa" w:w="4032"/>
            <w:vAlign w:val="top"/>
          </w:tcPr>
          <w:p>
            <w:pPr>
              <w:spacing w:after="20"/>
            </w:pPr>
            <w:r>
              <w:rPr>
                <w:sz w:val="16"/>
              </w:rPr>
              <w:t>Capability brokering, context authority, resource intelligence, scheduling/orchestration semantics</w:t>
            </w:r>
          </w:p>
        </w:tc>
        <w:tc>
          <w:tcPr>
            <w:tcW w:type="dxa" w:w="4032"/>
            <w:vAlign w:val="top"/>
          </w:tcPr>
          <w:p>
            <w:pPr>
              <w:spacing w:after="20"/>
            </w:pPr>
            <w:r>
              <w:rPr>
                <w:sz w:val="16"/>
              </w:rPr>
              <w:t>Temporal, RouteLLM, LiteLLM, Dynamo, Ray/Maze may implement mechanisms</w:t>
            </w:r>
          </w:p>
        </w:tc>
      </w:tr>
      <w:tr>
        <w:trPr>
          <w:cantSplit/>
        </w:trPr>
        <w:tc>
          <w:tcPr>
            <w:tcW w:type="dxa" w:w="2016"/>
            <w:vAlign w:val="top"/>
          </w:tcPr>
          <w:p>
            <w:pPr>
              <w:spacing w:after="20"/>
            </w:pPr>
            <w:r>
              <w:rPr>
                <w:sz w:val="16"/>
              </w:rPr>
              <w:t>Providers</w:t>
            </w:r>
          </w:p>
        </w:tc>
        <w:tc>
          <w:tcPr>
            <w:tcW w:type="dxa" w:w="4032"/>
            <w:vAlign w:val="top"/>
          </w:tcPr>
          <w:p>
            <w:pPr>
              <w:spacing w:after="20"/>
            </w:pPr>
            <w:r>
              <w:rPr>
                <w:sz w:val="16"/>
              </w:rPr>
              <w:t>Lifecycle adapters exposing capabilities</w:t>
            </w:r>
          </w:p>
        </w:tc>
        <w:tc>
          <w:tcPr>
            <w:tcW w:type="dxa" w:w="4032"/>
            <w:vAlign w:val="top"/>
          </w:tcPr>
          <w:p>
            <w:pPr>
              <w:spacing w:after="20"/>
            </w:pPr>
            <w:r>
              <w:rPr>
                <w:sz w:val="16"/>
              </w:rPr>
              <w:t>Freya reference agent runtime (v1); Hermes, Agent Zero (post-v1, under §11.1 containment); Ollama, llama.cpp, vLLM, SGLang, Agent-S, ComfyUI, Home Assistant, Docling</w:t>
            </w:r>
          </w:p>
        </w:tc>
      </w:tr>
      <w:tr>
        <w:trPr>
          <w:cantSplit/>
        </w:trPr>
        <w:tc>
          <w:tcPr>
            <w:tcW w:type="dxa" w:w="2016"/>
            <w:vAlign w:val="top"/>
          </w:tcPr>
          <w:p>
            <w:pPr>
              <w:spacing w:after="20"/>
            </w:pPr>
            <w:r>
              <w:rPr>
                <w:sz w:val="16"/>
              </w:rPr>
              <w:t>Infrastructure</w:t>
            </w:r>
          </w:p>
        </w:tc>
        <w:tc>
          <w:tcPr>
            <w:tcW w:type="dxa" w:w="4032"/>
            <w:vAlign w:val="top"/>
          </w:tcPr>
          <w:p>
            <w:pPr>
              <w:spacing w:after="20"/>
            </w:pPr>
            <w:r>
              <w:rPr>
                <w:sz w:val="16"/>
              </w:rPr>
              <w:t>Execution, messaging, orchestration, storage, observability</w:t>
            </w:r>
          </w:p>
        </w:tc>
        <w:tc>
          <w:tcPr>
            <w:tcW w:type="dxa" w:w="4032"/>
            <w:vAlign w:val="top"/>
          </w:tcPr>
          <w:p>
            <w:pPr>
              <w:spacing w:after="20"/>
            </w:pPr>
            <w:r>
              <w:rPr>
                <w:sz w:val="16"/>
              </w:rPr>
              <w:t>SQLite (v1), WSL2 + Docker Engine/Podman (v1), NATS, K3s, Qdrant, MLflow, OpenTelemetry, Prometheus, Langfuse</w:t>
            </w:r>
          </w:p>
        </w:tc>
      </w:tr>
      <w:tr>
        <w:trPr>
          <w:cantSplit/>
        </w:trPr>
        <w:tc>
          <w:tcPr>
            <w:tcW w:type="dxa" w:w="2016"/>
            <w:vAlign w:val="top"/>
          </w:tcPr>
          <w:p>
            <w:pPr>
              <w:spacing w:after="20"/>
            </w:pPr>
            <w:r>
              <w:rPr>
                <w:sz w:val="16"/>
              </w:rPr>
              <w:t>Hardware/devices</w:t>
            </w:r>
          </w:p>
        </w:tc>
        <w:tc>
          <w:tcPr>
            <w:tcW w:type="dxa" w:w="4032"/>
            <w:vAlign w:val="top"/>
          </w:tcPr>
          <w:p>
            <w:pPr>
              <w:spacing w:after="20"/>
            </w:pPr>
            <w:r>
              <w:rPr>
                <w:sz w:val="16"/>
              </w:rPr>
              <w:t>Compute and physical resources</w:t>
            </w:r>
          </w:p>
        </w:tc>
        <w:tc>
          <w:tcPr>
            <w:tcW w:type="dxa" w:w="4032"/>
            <w:vAlign w:val="top"/>
          </w:tcPr>
          <w:p>
            <w:pPr>
              <w:spacing w:after="20"/>
            </w:pPr>
            <w:r>
              <w:rPr>
                <w:sz w:val="16"/>
              </w:rPr>
              <w:t>NVIDIA/AMD/Intel GPUs, CPUs, NAS, Bambu X1C, CNC, sensors, phones</w:t>
            </w:r>
          </w:p>
        </w:tc>
      </w:tr>
    </w:tbl>
    <w:p/>
    <w:p>
      <w:pPr>
        <w:pStyle w:val="Heading2"/>
      </w:pPr>
      <w:r>
        <w:t>4.1 Provider lifecycle</w:t>
      </w:r>
    </w:p>
    <w:p>
      <w:pPr>
        <w:pStyle w:val="CodeBlock"/>
      </w:pPr>
      <w:r>
        <w:t>discover -&gt; quarantine/validate -&gt; register -&gt; start -&gt; health-check -&gt; use -&gt; drain -&gt; stop -&gt; unload -&gt; failover</w:t>
      </w:r>
    </w:p>
    <w:p>
      <w:r>
        <w:rPr>
          <w:b/>
          <w:color w:val="C00000"/>
        </w:rPr>
        <w:t xml:space="preserve">PROV-001 — MUST: </w:t>
      </w:r>
      <w:r>
        <w:t>Every provider expose stable identity, version, capabilities, health, lifecycle, resource requirements, permissions, locality/network requirements, privacy properties, dependencies, and failure behavior.</w:t>
      </w:r>
      <w:r>
        <w:rPr>
          <w:i/>
          <w:color w:val="7F7F7F"/>
          <w:sz w:val="16"/>
        </w:rPr>
        <w:t xml:space="preserve"> [changed v1.1]</w:t>
      </w:r>
    </w:p>
    <w:p>
      <w:r>
        <w:rPr>
          <w:b/>
          <w:color w:val="C00000"/>
        </w:rPr>
        <w:t xml:space="preserve">PROV-002 — MUST: </w:t>
      </w:r>
      <w:r>
        <w:t>Provider crashes must be contained and reflected as capability availability changes.</w:t>
      </w:r>
    </w:p>
    <w:p>
      <w:r>
        <w:rPr>
          <w:b/>
          <w:color w:val="C00000"/>
        </w:rPr>
        <w:t xml:space="preserve">PROV-003 — MUST: </w:t>
      </w:r>
      <w:r>
        <w:t>Core must be able to refuse registration when manifest, license, trust, compatibility, permission, or containment (AGT-004) validation fails.</w:t>
      </w:r>
      <w:r>
        <w:rPr>
          <w:i/>
          <w:color w:val="7F7F7F"/>
          <w:sz w:val="16"/>
        </w:rPr>
        <w:t xml:space="preserve"> [changed v1.1]</w:t>
      </w:r>
    </w:p>
    <w:p>
      <w:r>
        <w:rPr>
          <w:b/>
          <w:color w:val="C00000"/>
        </w:rPr>
        <w:t xml:space="preserve">PROV-004 — MUST: </w:t>
      </w:r>
      <w:r>
        <w:t>Third-party providers run as isolated processes or network services. In-process providers are permitted only for trusted first-party code (isolation Tier 0, §6.4); an in-process provider is part of Core's failure domain and is excluded from ARCH-002 crash containment. Risky, restrictive-license, or heavy providers remain isolated.</w:t>
      </w:r>
      <w:r>
        <w:rPr>
          <w:i/>
          <w:color w:val="7F7F7F"/>
          <w:sz w:val="16"/>
        </w:rPr>
        <w:t xml:space="preserve"> [changed v1.1]</w:t>
      </w:r>
    </w:p>
    <w:p>
      <w:pPr>
        <w:pStyle w:val="Heading1"/>
      </w:pPr>
      <w:r>
        <w:t>5. Capability Architecture</w:t>
      </w:r>
    </w:p>
    <w:p>
      <w:r>
        <w:t>A capability is a stable, versioned declaration of an action or service Freya can request independently of the provider that implements it.</w:t>
      </w:r>
    </w:p>
    <w:p>
      <w:pPr>
        <w:pStyle w:val="CodeBlock"/>
      </w:pPr>
      <w:r>
        <w:t>CapabilityDefinition</w:t>
        <w:br/>
        <w:t xml:space="preserve">  capability_id</w:t>
        <w:br/>
        <w:t xml:space="preserve">  version</w:t>
        <w:br/>
        <w:t xml:space="preserve">  description</w:t>
        <w:br/>
        <w:t xml:space="preserve">  input_schema</w:t>
        <w:br/>
        <w:t xml:space="preserve">  output_schema</w:t>
        <w:br/>
        <w:t xml:space="preserve">  risk_class            # enum, see below                       [changed v1.1]</w:t>
        <w:br/>
        <w:t xml:space="preserve">  egress                # none | local_network | external        [new v1.1]</w:t>
        <w:br/>
        <w:t xml:space="preserve">  idempotency           # idempotent | keyed | non_idempotent    [new v1.1]</w:t>
        <w:br/>
        <w:t xml:space="preserve">  approval_policy       # default derived from risk_class, §6.6  [new v1.1]</w:t>
        <w:br/>
        <w:t xml:space="preserve">  permissions_required</w:t>
        <w:br/>
        <w:t xml:space="preserve">  privacy_constraints</w:t>
        <w:br/>
        <w:t xml:space="preserve">  resource_profile</w:t>
        <w:br/>
        <w:t xml:space="preserve">  dependencies          # for ARCH-002 "unrelated" analysis      [new v1.1]</w:t>
        <w:br/>
        <w:t xml:space="preserve">  provider_candidates</w:t>
        <w:br/>
        <w:t xml:space="preserve">  verification_strategy</w:t>
        <w:br/>
        <w:t xml:space="preserve">  cancellation_semantics</w:t>
        <w:br/>
        <w:t xml:space="preserve">  audit_requirements</w:t>
      </w:r>
    </w:p>
    <w:p>
      <w:r>
        <w:rPr>
          <w:b/>
        </w:rPr>
        <w:t>Risk classes.</w:t>
      </w:r>
      <w:r>
        <w:t xml:space="preserve"> risk_class is one of: read, write_local, destructive, egress, spend, code_exec, physical, privileged. Every class except read is consequential for the purposes of SEC-013 and §6.6. A capability with more than one property takes the most restrictive applicable class, and its egress field is declared independently of its risk_class.</w:t>
      </w:r>
      <w:r>
        <w:rPr>
          <w:i/>
          <w:color w:val="7F7F7F"/>
          <w:sz w:val="16"/>
        </w:rPr>
        <w:t xml:space="preserve"> [new v1.1]</w:t>
      </w:r>
    </w:p>
    <w:p>
      <w:r>
        <w:rPr>
          <w:b/>
          <w:color w:val="C00000"/>
        </w:rPr>
        <w:t xml:space="preserve">CAP-001 — MUST: </w:t>
      </w:r>
      <w:r>
        <w:t>Resolve protected actions through Capability Broker authorization before provider invocation. Authorization is evaluated at invocation time against the caller's delegation (§6.5); there is no separately issued, reusable binding.</w:t>
      </w:r>
      <w:r>
        <w:rPr>
          <w:i/>
          <w:color w:val="7F7F7F"/>
          <w:sz w:val="16"/>
        </w:rPr>
        <w:t xml:space="preserve"> [changed v1.1]</w:t>
      </w:r>
    </w:p>
    <w:p>
      <w:r>
        <w:rPr>
          <w:b/>
          <w:color w:val="C00000"/>
        </w:rPr>
        <w:t xml:space="preserve">CAP-002 — MUST: </w:t>
      </w:r>
      <w:r>
        <w:t>Allow multiple providers for the same capability and support health-aware failover where semantics permit.</w:t>
      </w:r>
    </w:p>
    <w:p>
      <w:r>
        <w:rPr>
          <w:b/>
          <w:color w:val="C00000"/>
        </w:rPr>
        <w:t xml:space="preserve">CAP-003 — MUST: </w:t>
      </w:r>
      <w:r>
        <w:t>Return an explicit unsupported/unavailable/unauthorized/approval_pending/failed/outcome_unknown distinction rather than hallucinating capability.</w:t>
      </w:r>
      <w:r>
        <w:rPr>
          <w:i/>
          <w:color w:val="7F7F7F"/>
          <w:sz w:val="16"/>
        </w:rPr>
        <w:t xml:space="preserve"> [changed v1.1]</w:t>
      </w:r>
    </w:p>
    <w:p>
      <w:r>
        <w:rPr>
          <w:b/>
          <w:color w:val="BF9000"/>
        </w:rPr>
        <w:t xml:space="preserve">CAP-004 — SHOULD: </w:t>
      </w:r>
      <w:r>
        <w:t>Expose capability discovery through authenticated client and agent interfaces.</w:t>
      </w:r>
    </w:p>
    <w:p>
      <w:r>
        <w:rPr>
          <w:b/>
          <w:color w:val="548235"/>
        </w:rPr>
        <w:t xml:space="preserve">CAP-005 — MAY: </w:t>
      </w:r>
      <w:r>
        <w:t>Use MCP/A2A/native APIs/CLI/computer-use underneath capability adapters without exposing protocol coupling to callers.</w:t>
      </w:r>
    </w:p>
    <w:p>
      <w:r>
        <w:rPr>
          <w:b/>
          <w:color w:val="C00000"/>
        </w:rPr>
        <w:t xml:space="preserve">CAP-006 — MUST: </w:t>
      </w:r>
      <w:r>
        <w:t>Authorization inputs (principal, task, trust state, environment) are derived by the broker from server-side state bound to the delegation handle; caller-supplied context is never trusted as an authorization input.</w:t>
      </w:r>
      <w:r>
        <w:rPr>
          <w:i/>
          <w:color w:val="7F7F7F"/>
          <w:sz w:val="16"/>
        </w:rPr>
        <w:t xml:space="preserve"> [new v1.1]</w:t>
      </w:r>
    </w:p>
    <w:p>
      <w:r>
        <w:rPr>
          <w:b/>
          <w:color w:val="C00000"/>
        </w:rPr>
        <w:t xml:space="preserve">CAP-007 — MUST: </w:t>
      </w:r>
      <w:r>
        <w:t>Every capability declares risk_class, egress, and idempotency; registration fails if any is missing.</w:t>
      </w:r>
      <w:r>
        <w:rPr>
          <w:i/>
          <w:color w:val="7F7F7F"/>
          <w:sz w:val="16"/>
        </w:rPr>
        <w:t xml:space="preserve"> [new v1.1]</w:t>
      </w:r>
    </w:p>
    <w:p>
      <w:pPr>
        <w:pStyle w:val="Heading1"/>
      </w:pPr>
      <w:r>
        <w:t>6. Security Architecture</w:t>
      </w:r>
    </w:p>
    <w:p>
      <w:pPr>
        <w:pStyle w:val="Heading2"/>
      </w:pPr>
      <w:r>
        <w:t>6.1 Identity types</w:t>
      </w:r>
    </w:p>
    <w:tbl>
      <w:tblPr>
        <w:tblStyle w:val="TableGrid"/>
        <w:tblW w:type="auto" w:w="0"/>
        <w:jc w:val="center"/>
        <w:tblLook w:firstColumn="1" w:firstRow="1" w:lastColumn="0" w:lastRow="0" w:noHBand="0" w:noVBand="1" w:val="04A0"/>
      </w:tblPr>
      <w:tblGrid>
        <w:gridCol w:w="2016"/>
        <w:gridCol w:w="4032"/>
        <w:gridCol w:w="4032"/>
      </w:tblGrid>
      <w:tr>
        <w:trPr>
          <w:tblHeader w:val="true"/>
        </w:trPr>
        <w:tc>
          <w:tcPr>
            <w:tcW w:type="dxa" w:w="2016"/>
            <w:shd w:fill="D9EAF7"/>
            <w:vAlign w:val="center"/>
          </w:tcPr>
          <w:p>
            <w:r>
              <w:rPr>
                <w:b/>
                <w:sz w:val="17"/>
              </w:rPr>
              <w:t>Identity</w:t>
            </w:r>
          </w:p>
        </w:tc>
        <w:tc>
          <w:tcPr>
            <w:tcW w:type="dxa" w:w="4032"/>
            <w:shd w:fill="D9EAF7"/>
            <w:vAlign w:val="center"/>
          </w:tcPr>
          <w:p>
            <w:r>
              <w:rPr>
                <w:b/>
                <w:sz w:val="17"/>
              </w:rPr>
              <w:t>Purpose</w:t>
            </w:r>
          </w:p>
        </w:tc>
        <w:tc>
          <w:tcPr>
            <w:tcW w:type="dxa" w:w="4032"/>
            <w:shd w:fill="D9EAF7"/>
            <w:vAlign w:val="center"/>
          </w:tcPr>
          <w:p>
            <w:r>
              <w:rPr>
                <w:b/>
                <w:sz w:val="17"/>
              </w:rPr>
              <w:t>Authority</w:t>
            </w:r>
          </w:p>
        </w:tc>
      </w:tr>
      <w:tr>
        <w:trPr>
          <w:cantSplit/>
        </w:trPr>
        <w:tc>
          <w:tcPr>
            <w:tcW w:type="dxa" w:w="2016"/>
            <w:vAlign w:val="top"/>
          </w:tcPr>
          <w:p>
            <w:pPr>
              <w:spacing w:after="20"/>
            </w:pPr>
            <w:r>
              <w:rPr>
                <w:sz w:val="16"/>
              </w:rPr>
              <w:t>Human/user</w:t>
            </w:r>
          </w:p>
        </w:tc>
        <w:tc>
          <w:tcPr>
            <w:tcW w:type="dxa" w:w="4032"/>
            <w:vAlign w:val="top"/>
          </w:tcPr>
          <w:p>
            <w:pPr>
              <w:spacing w:after="20"/>
            </w:pPr>
            <w:r>
              <w:rPr>
                <w:sz w:val="16"/>
              </w:rPr>
              <w:t>Who requested/owns the action</w:t>
            </w:r>
          </w:p>
        </w:tc>
        <w:tc>
          <w:tcPr>
            <w:tcW w:type="dxa" w:w="4032"/>
            <w:vAlign w:val="top"/>
          </w:tcPr>
          <w:p>
            <w:pPr>
              <w:spacing w:after="20"/>
            </w:pPr>
            <w:r>
              <w:rPr>
                <w:sz w:val="16"/>
              </w:rPr>
              <w:t>Role + capability grants + security-domain membership</w:t>
            </w:r>
          </w:p>
        </w:tc>
      </w:tr>
      <w:tr>
        <w:trPr>
          <w:cantSplit/>
        </w:trPr>
        <w:tc>
          <w:tcPr>
            <w:tcW w:type="dxa" w:w="2016"/>
            <w:vAlign w:val="top"/>
          </w:tcPr>
          <w:p>
            <w:pPr>
              <w:spacing w:after="20"/>
            </w:pPr>
            <w:r>
              <w:rPr>
                <w:sz w:val="16"/>
              </w:rPr>
              <w:t>Client/device</w:t>
            </w:r>
          </w:p>
        </w:tc>
        <w:tc>
          <w:tcPr>
            <w:tcW w:type="dxa" w:w="4032"/>
            <w:vAlign w:val="top"/>
          </w:tcPr>
          <w:p>
            <w:pPr>
              <w:spacing w:after="20"/>
            </w:pPr>
            <w:r>
              <w:rPr>
                <w:sz w:val="16"/>
              </w:rPr>
              <w:t>Which GUI/app/device is connected</w:t>
            </w:r>
          </w:p>
        </w:tc>
        <w:tc>
          <w:tcPr>
            <w:tcW w:type="dxa" w:w="4032"/>
            <w:vAlign w:val="top"/>
          </w:tcPr>
          <w:p>
            <w:pPr>
              <w:spacing w:after="20"/>
            </w:pPr>
            <w:r>
              <w:rPr>
                <w:sz w:val="16"/>
              </w:rPr>
              <w:t>Client-specific scope; never implies user authority</w:t>
            </w:r>
          </w:p>
        </w:tc>
      </w:tr>
      <w:tr>
        <w:trPr>
          <w:cantSplit/>
        </w:trPr>
        <w:tc>
          <w:tcPr>
            <w:tcW w:type="dxa" w:w="2016"/>
            <w:vAlign w:val="top"/>
          </w:tcPr>
          <w:p>
            <w:pPr>
              <w:spacing w:after="20"/>
            </w:pPr>
            <w:r>
              <w:rPr>
                <w:sz w:val="16"/>
              </w:rPr>
              <w:t>Workload/provider</w:t>
            </w:r>
          </w:p>
        </w:tc>
        <w:tc>
          <w:tcPr>
            <w:tcW w:type="dxa" w:w="4032"/>
            <w:vAlign w:val="top"/>
          </w:tcPr>
          <w:p>
            <w:pPr>
              <w:spacing w:after="20"/>
            </w:pPr>
            <w:r>
              <w:rPr>
                <w:sz w:val="16"/>
              </w:rPr>
              <w:t>Which software workload is requesting service</w:t>
            </w:r>
          </w:p>
        </w:tc>
        <w:tc>
          <w:tcPr>
            <w:tcW w:type="dxa" w:w="4032"/>
            <w:vAlign w:val="top"/>
          </w:tcPr>
          <w:p>
            <w:pPr>
              <w:spacing w:after="20"/>
            </w:pPr>
            <w:r>
              <w:rPr>
                <w:sz w:val="16"/>
              </w:rPr>
              <w:t>Attested workload identity; candidate SPIFFE/SPIRE (post-v1)</w:t>
            </w:r>
          </w:p>
        </w:tc>
      </w:tr>
      <w:tr>
        <w:trPr>
          <w:cantSplit/>
        </w:trPr>
        <w:tc>
          <w:tcPr>
            <w:tcW w:type="dxa" w:w="2016"/>
            <w:vAlign w:val="top"/>
          </w:tcPr>
          <w:p>
            <w:pPr>
              <w:spacing w:after="20"/>
            </w:pPr>
            <w:r>
              <w:rPr>
                <w:sz w:val="16"/>
              </w:rPr>
              <w:t>Agent task</w:t>
            </w:r>
            <w:r>
              <w:rPr>
                <w:i/>
                <w:color w:val="7F7F7F"/>
                <w:sz w:val="14"/>
              </w:rPr>
              <w:t xml:space="preserve"> [new v1.1]</w:t>
            </w:r>
          </w:p>
        </w:tc>
        <w:tc>
          <w:tcPr>
            <w:tcW w:type="dxa" w:w="4032"/>
            <w:vAlign w:val="top"/>
          </w:tcPr>
          <w:p>
            <w:pPr>
              <w:spacing w:after="20"/>
            </w:pPr>
            <w:r>
              <w:rPr>
                <w:sz w:val="16"/>
              </w:rPr>
              <w:t>Which agent run is acting, for whom</w:t>
            </w:r>
          </w:p>
        </w:tc>
        <w:tc>
          <w:tcPr>
            <w:tcW w:type="dxa" w:w="4032"/>
            <w:vAlign w:val="top"/>
          </w:tcPr>
          <w:p>
            <w:pPr>
              <w:spacing w:after="20"/>
            </w:pPr>
            <w:r>
              <w:rPr>
                <w:sz w:val="16"/>
              </w:rPr>
              <w:t>Delegation record only (§6.5); never the user's full authority</w:t>
            </w:r>
          </w:p>
        </w:tc>
      </w:tr>
      <w:tr>
        <w:trPr>
          <w:cantSplit/>
        </w:trPr>
        <w:tc>
          <w:tcPr>
            <w:tcW w:type="dxa" w:w="2016"/>
            <w:vAlign w:val="top"/>
          </w:tcPr>
          <w:p>
            <w:pPr>
              <w:spacing w:after="20"/>
            </w:pPr>
            <w:r>
              <w:rPr>
                <w:sz w:val="16"/>
              </w:rPr>
              <w:t>Node</w:t>
            </w:r>
          </w:p>
        </w:tc>
        <w:tc>
          <w:tcPr>
            <w:tcW w:type="dxa" w:w="4032"/>
            <w:vAlign w:val="top"/>
          </w:tcPr>
          <w:p>
            <w:pPr>
              <w:spacing w:after="20"/>
            </w:pPr>
            <w:r>
              <w:rPr>
                <w:sz w:val="16"/>
              </w:rPr>
              <w:t>Which machine/host participates</w:t>
            </w:r>
          </w:p>
        </w:tc>
        <w:tc>
          <w:tcPr>
            <w:tcW w:type="dxa" w:w="4032"/>
            <w:vAlign w:val="top"/>
          </w:tcPr>
          <w:p>
            <w:pPr>
              <w:spacing w:after="20"/>
            </w:pPr>
            <w:r>
              <w:rPr>
                <w:sz w:val="16"/>
              </w:rPr>
              <w:t>Node trust/attestation and security-domain membership</w:t>
            </w:r>
          </w:p>
        </w:tc>
      </w:tr>
      <w:tr>
        <w:trPr>
          <w:cantSplit/>
        </w:trPr>
        <w:tc>
          <w:tcPr>
            <w:tcW w:type="dxa" w:w="2016"/>
            <w:vAlign w:val="top"/>
          </w:tcPr>
          <w:p>
            <w:pPr>
              <w:spacing w:after="20"/>
            </w:pPr>
            <w:r>
              <w:rPr>
                <w:sz w:val="16"/>
              </w:rPr>
              <w:t>Federated domain</w:t>
            </w:r>
          </w:p>
        </w:tc>
        <w:tc>
          <w:tcPr>
            <w:tcW w:type="dxa" w:w="4032"/>
            <w:vAlign w:val="top"/>
          </w:tcPr>
          <w:p>
            <w:pPr>
              <w:spacing w:after="20"/>
            </w:pPr>
            <w:r>
              <w:rPr>
                <w:sz w:val="16"/>
              </w:rPr>
              <w:t>Which independent Freya authority issued identity</w:t>
            </w:r>
          </w:p>
        </w:tc>
        <w:tc>
          <w:tcPr>
            <w:tcW w:type="dxa" w:w="4032"/>
            <w:vAlign w:val="top"/>
          </w:tcPr>
          <w:p>
            <w:pPr>
              <w:spacing w:after="20"/>
            </w:pPr>
            <w:r>
              <w:rPr>
                <w:sz w:val="16"/>
              </w:rPr>
              <w:t>Authentication only; does not imply administration</w:t>
            </w:r>
          </w:p>
        </w:tc>
      </w:tr>
    </w:tbl>
    <w:p/>
    <w:p>
      <w:r>
        <w:t>SPIFFE/SPIRE is the leading future workload/node identity implementation because SPIFFE trust domains are administratively isolated and can federate for authentication without merging authority. Foundation v1 uses the simpler identity model in §28 (question 8).</w:t>
      </w:r>
    </w:p>
    <w:p>
      <w:r>
        <w:rPr>
          <w:b/>
          <w:color w:val="C00000"/>
        </w:rPr>
        <w:t xml:space="preserve">SEC-001 — MUST: </w:t>
      </w:r>
      <w:r>
        <w:t>Separate policy decision from policy enforcement. Freya defines the policy semantics; Foundation v1 evaluates policy in-process (ADR-021), and OPA is a leading post-v1 PolicyEngineProvider candidate.</w:t>
      </w:r>
      <w:r>
        <w:rPr>
          <w:i/>
          <w:color w:val="7F7F7F"/>
          <w:sz w:val="16"/>
        </w:rPr>
        <w:t xml:space="preserve"> [changed v1.1]</w:t>
      </w:r>
    </w:p>
    <w:p>
      <w:r>
        <w:rPr>
          <w:b/>
          <w:color w:val="C00000"/>
        </w:rPr>
        <w:t xml:space="preserve">SEC-002 — MUST: </w:t>
      </w:r>
      <w:r>
        <w:t>Enforcement layers may only preserve or reduce authority as requests pass through user, domain, agent, capability, provider, sandbox, and task scopes; they must not silently increase it.</w:t>
      </w:r>
    </w:p>
    <w:p>
      <w:r>
        <w:rPr>
          <w:b/>
          <w:color w:val="C00000"/>
        </w:rPr>
        <w:t xml:space="preserve">SEC-003 — MUST: </w:t>
      </w:r>
      <w:r>
        <w:t>Secrets are not directly exposed to agents when a scoped/short-lived credential or brokered action can satisfy the task. Secrets and credentials are never placed in model context.</w:t>
      </w:r>
      <w:r>
        <w:rPr>
          <w:i/>
          <w:color w:val="7F7F7F"/>
          <w:sz w:val="16"/>
        </w:rPr>
        <w:t xml:space="preserve"> [changed v1.1]</w:t>
      </w:r>
    </w:p>
    <w:p>
      <w:r>
        <w:rPr>
          <w:b/>
          <w:color w:val="C00000"/>
        </w:rPr>
        <w:t xml:space="preserve">SEC-004 — MUST: </w:t>
      </w:r>
      <w:r>
        <w:t>Maintain trusted-runtime and untrusted-execution environments as a hard boundary.</w:t>
      </w:r>
    </w:p>
    <w:p>
      <w:r>
        <w:rPr>
          <w:b/>
          <w:color w:val="C00000"/>
        </w:rPr>
        <w:t xml:space="preserve">SEC-005 — MUST: </w:t>
      </w:r>
      <w:r>
        <w:t>Classify execution risk and select isolation according to the tiers defined in §6.4.</w:t>
      </w:r>
      <w:r>
        <w:rPr>
          <w:i/>
          <w:color w:val="7F7F7F"/>
          <w:sz w:val="16"/>
        </w:rPr>
        <w:t xml:space="preserve"> [changed v1.1]</w:t>
      </w:r>
    </w:p>
    <w:p>
      <w:r>
        <w:rPr>
          <w:b/>
          <w:color w:val="C00000"/>
        </w:rPr>
        <w:t xml:space="preserve">SEC-006 — MUST: </w:t>
      </w:r>
      <w:r>
        <w:t>Consequential physical actions and destructive system actions support explicit authorization policies and auditable execution, using the approval contract in §6.6.</w:t>
      </w:r>
      <w:r>
        <w:rPr>
          <w:i/>
          <w:color w:val="7F7F7F"/>
          <w:sz w:val="16"/>
        </w:rPr>
        <w:t xml:space="preserve"> [changed v1.1]</w:t>
      </w:r>
    </w:p>
    <w:p>
      <w:r>
        <w:rPr>
          <w:b/>
          <w:color w:val="C00000"/>
        </w:rPr>
        <w:t xml:space="preserve">SEC-007 — MUST: </w:t>
      </w:r>
      <w:r>
        <w:t>Security audit events include actor, delegation/task, workload/client identity, requested capability, decision, policy basis/reference, target, trust state, outcome, and timestamps without leaking secrets.</w:t>
      </w:r>
      <w:r>
        <w:rPr>
          <w:i/>
          <w:color w:val="7F7F7F"/>
          <w:sz w:val="16"/>
        </w:rPr>
        <w:t xml:space="preserve"> [changed v1.1]</w:t>
      </w:r>
    </w:p>
    <w:p>
      <w:r>
        <w:rPr>
          <w:b/>
          <w:color w:val="BF9000"/>
        </w:rPr>
        <w:t xml:space="preserve">SEC-008 — SHOULD: </w:t>
      </w:r>
      <w:r>
        <w:t>Make high-value audit history tamper-evident. Foundation v1 implements this as a hash-chained append-only audit table.</w:t>
      </w:r>
      <w:r>
        <w:rPr>
          <w:i/>
          <w:color w:val="7F7F7F"/>
          <w:sz w:val="16"/>
        </w:rPr>
        <w:t xml:space="preserve"> [changed v1.1]</w:t>
      </w:r>
    </w:p>
    <w:p>
      <w:r>
        <w:rPr>
          <w:b/>
          <w:color w:val="BF9000"/>
        </w:rPr>
        <w:t xml:space="preserve">SEC-009 — SHOULD: </w:t>
      </w:r>
      <w:r>
        <w:t>Use OpenBao or equivalent behind SecretsProvider/PKIProvider for production secrets, short-lived credentials, and certificate lifecycle (post-v1; v1 uses the OS credential store, §28 question 8).</w:t>
      </w:r>
      <w:r>
        <w:rPr>
          <w:i/>
          <w:color w:val="7F7F7F"/>
          <w:sz w:val="16"/>
        </w:rPr>
        <w:t xml:space="preserve"> [changed v1.1]</w:t>
      </w:r>
    </w:p>
    <w:p>
      <w:r>
        <w:rPr>
          <w:b/>
          <w:color w:val="BF9000"/>
        </w:rPr>
        <w:t xml:space="preserve">SEC-010 — SHOULD: </w:t>
      </w:r>
      <w:r>
        <w:t>Use Sigstore/in-toto/TUF-style provenance, signing, and secure update mechanisms for distributed Freya artifacts and updates (post-v1).</w:t>
      </w:r>
      <w:r>
        <w:rPr>
          <w:i/>
          <w:color w:val="7F7F7F"/>
          <w:sz w:val="16"/>
        </w:rPr>
        <w:t xml:space="preserve"> [changed v1.1]</w:t>
      </w:r>
    </w:p>
    <w:p>
      <w:r>
        <w:rPr>
          <w:b/>
          <w:color w:val="C00000"/>
        </w:rPr>
        <w:t xml:space="preserve">SEC-017 — MUST: </w:t>
      </w:r>
      <w:r>
        <w:t>Cached authorization decisions may only be used to deny, or to allow read-class capabilities for a bounded TTL configured in policy. Allow decisions for consequential risk classes are never served from cache.</w:t>
      </w:r>
      <w:r>
        <w:rPr>
          <w:i/>
          <w:color w:val="7F7F7F"/>
          <w:sz w:val="16"/>
        </w:rPr>
        <w:t xml:space="preserve"> [new v1.1]</w:t>
      </w:r>
    </w:p>
    <w:p>
      <w:r>
        <w:rPr>
          <w:b/>
          <w:color w:val="C00000"/>
        </w:rPr>
        <w:t xml:space="preserve">SEC-018 — MUST: </w:t>
      </w:r>
      <w:r>
        <w:t>Audit records reference content (memories, documents, prompts, outputs) by identifier and hash rather than embedding it, so that deletion (MEM-009) removes content while preserving audit evidence that an action occurred.</w:t>
      </w:r>
      <w:r>
        <w:rPr>
          <w:i/>
          <w:color w:val="7F7F7F"/>
          <w:sz w:val="16"/>
        </w:rPr>
        <w:t xml:space="preserve"> [new v1.1]</w:t>
      </w:r>
    </w:p>
    <w:p>
      <w:pPr>
        <w:pStyle w:val="Heading2"/>
      </w:pPr>
      <w:r>
        <w:t>6.2 Federated administrative sovereignty</w:t>
      </w:r>
    </w:p>
    <w:p>
      <w:r>
        <w:t>Federation is out of scope for Foundation v1 implementation. Requirements SEC-035 through SEC-040 are retained unchanged as future invariants in Appendix A; v1 contracts must not preclude them (in particular, every persisted record carries owner and security_domain from day one).</w:t>
      </w:r>
      <w:r>
        <w:rPr>
          <w:i/>
          <w:color w:val="7F7F7F"/>
          <w:sz w:val="16"/>
        </w:rPr>
        <w:t xml:space="preserve"> [changed v1.1]</w:t>
      </w:r>
    </w:p>
    <w:p>
      <w:pPr>
        <w:pStyle w:val="Heading2"/>
      </w:pPr>
      <w:r>
        <w:t>6.3 Untrusted Content and Prompt Injection</w:t>
      </w:r>
      <w:r>
        <w:rPr>
          <w:i/>
          <w:color w:val="7F7F7F"/>
          <w:sz w:val="16"/>
        </w:rPr>
        <w:t xml:space="preserve"> [new v1.1]</w:t>
      </w:r>
    </w:p>
    <w:p>
      <w:r>
        <w:t>The broker authorizes by principal, so an agent acting for a user carries that user's authority. Instructions embedded in content the agent reads — web pages, documents, email, tool and MCP output — can therefore steer it into actions that pass every principal-based check (a confused-deputy attack). This section makes the influence of untrusted content an explicit authorization input.</w:t>
      </w:r>
    </w:p>
    <w:p>
      <w:r>
        <w:rPr>
          <w:b/>
          <w:color w:val="C00000"/>
        </w:rPr>
        <w:t xml:space="preserve">SEC-011 — MUST: </w:t>
      </w:r>
      <w:r>
        <w:t>Every item of context supplied to a model carries a trust label assigned by the Context Authority from provenance, never by the agent. Trusted: the user's direct instructions and Core/system content. Untrusted: web content, documents, email/messages, tool/MCP/provider output, federated data, and agent-inferred memory.</w:t>
      </w:r>
      <w:r>
        <w:rPr>
          <w:i/>
          <w:color w:val="7F7F7F"/>
          <w:sz w:val="16"/>
        </w:rPr>
        <w:t xml:space="preserve"> [new v1.1]</w:t>
      </w:r>
    </w:p>
    <w:p>
      <w:r>
        <w:rPr>
          <w:b/>
          <w:color w:val="C00000"/>
        </w:rPr>
        <w:t xml:space="preserve">SEC-012 — MUST: </w:t>
      </w:r>
      <w:r>
        <w:t>Untrusted content never expands authority. A task's capability grants, targets, and recipients are fixed when the user's request is authorized (§6.5); text in untrusted content cannot add to them.</w:t>
      </w:r>
      <w:r>
        <w:rPr>
          <w:i/>
          <w:color w:val="7F7F7F"/>
          <w:sz w:val="16"/>
        </w:rPr>
        <w:t xml:space="preserve"> [new v1.1]</w:t>
      </w:r>
    </w:p>
    <w:p>
      <w:r>
        <w:rPr>
          <w:b/>
          <w:color w:val="C00000"/>
        </w:rPr>
        <w:t xml:space="preserve">SEC-013 — MUST: </w:t>
      </w:r>
      <w:r>
        <w:t>Once a task has ingested untrusted content, every action in a consequential risk class requires human approval (§6.6) unless a standing policy explicitly pre-approves that exact capability and target. This strict default applies in Foundation v1; standing policies are the only relaxation mechanism.</w:t>
      </w:r>
      <w:r>
        <w:rPr>
          <w:i/>
          <w:color w:val="7F7F7F"/>
          <w:sz w:val="16"/>
        </w:rPr>
        <w:t xml:space="preserve"> [new v1.1]</w:t>
      </w:r>
    </w:p>
    <w:p>
      <w:r>
        <w:rPr>
          <w:b/>
          <w:color w:val="C00000"/>
        </w:rPr>
        <w:t xml:space="preserve">SEC-013a — MUST: </w:t>
      </w:r>
      <w:r>
        <w:t>Writes that land only in Freya-internal stores already labeled untrusted (session working state, untrusted memory per MEM-007, sandbox scratch) are not consequential for SEC-013. Moving such content into a trusted store or a user folder is.</w:t>
      </w:r>
      <w:r>
        <w:rPr>
          <w:i/>
          <w:color w:val="7F7F7F"/>
          <w:sz w:val="16"/>
        </w:rPr>
        <w:t xml:space="preserve"> [new v1.1]</w:t>
      </w:r>
    </w:p>
    <w:p>
      <w:r>
        <w:rPr>
          <w:b/>
          <w:color w:val="C00000"/>
        </w:rPr>
        <w:t xml:space="preserve">SEC-014 — MUST: </w:t>
      </w:r>
      <w:r>
        <w:t>Agent-initiated egress is controlled: every capability declares its egress, external destinations are allowlisted per task, and the audit trail records what was sent and to where. External model escalation (§10) is egress.</w:t>
      </w:r>
      <w:r>
        <w:rPr>
          <w:i/>
          <w:color w:val="7F7F7F"/>
          <w:sz w:val="16"/>
        </w:rPr>
        <w:t xml:space="preserve"> [new v1.1]</w:t>
      </w:r>
    </w:p>
    <w:p>
      <w:r>
        <w:rPr>
          <w:b/>
          <w:color w:val="C00000"/>
        </w:rPr>
        <w:t xml:space="preserve">SEC-019 — MUST: </w:t>
      </w:r>
      <w:r>
        <w:t>Fetching a URL is egress, because a model-constructed URL can carry data out in its path or query string. A standing policy may pre-approve fetches of URLs that appear verbatim in trusted input or in results returned by the search capability; URLs the model constructs or modifies remain consequential.</w:t>
      </w:r>
      <w:r>
        <w:rPr>
          <w:i/>
          <w:color w:val="7F7F7F"/>
          <w:sz w:val="16"/>
        </w:rPr>
        <w:t xml:space="preserve"> [new v1.1]</w:t>
      </w:r>
    </w:p>
    <w:p>
      <w:r>
        <w:rPr>
          <w:b/>
          <w:color w:val="BF9000"/>
        </w:rPr>
        <w:t xml:space="preserve">SEC-015 — SHOULD: </w:t>
      </w:r>
      <w:r>
        <w:t>Untrusted content is delimited and labeled as data in prompts. This is defense in depth only and is never relied upon as a security control.</w:t>
      </w:r>
      <w:r>
        <w:rPr>
          <w:i/>
          <w:color w:val="7F7F7F"/>
          <w:sz w:val="16"/>
        </w:rPr>
        <w:t xml:space="preserve"> [new v1.1]</w:t>
      </w:r>
    </w:p>
    <w:p>
      <w:r>
        <w:rPr>
          <w:b/>
          <w:color w:val="548235"/>
        </w:rPr>
        <w:t xml:space="preserve">SEC-016 — MAY: </w:t>
      </w:r>
      <w:r>
        <w:t>Support a quarantined-reader pattern in which a model instance holding no capability grants processes untrusted content and returns only schema-validated structured output to the capability-holding agent.</w:t>
      </w:r>
      <w:r>
        <w:rPr>
          <w:i/>
          <w:color w:val="7F7F7F"/>
          <w:sz w:val="16"/>
        </w:rPr>
        <w:t xml:space="preserve"> [new v1.1]</w:t>
      </w:r>
    </w:p>
    <w:p>
      <w:pPr>
        <w:pStyle w:val="Heading2"/>
      </w:pPr>
      <w:r>
        <w:t>6.4 Execution Isolation</w:t>
      </w:r>
      <w:r>
        <w:rPr>
          <w:i/>
          <w:color w:val="7F7F7F"/>
          <w:sz w:val="16"/>
        </w:rPr>
        <w:t xml:space="preserve"> [new v1.1]</w:t>
      </w:r>
    </w:p>
    <w:tbl>
      <w:tblPr>
        <w:tblStyle w:val="TableGrid"/>
        <w:tblW w:type="auto" w:w="0"/>
        <w:jc w:val="center"/>
        <w:tblLook w:firstColumn="1" w:firstRow="1" w:lastColumn="0" w:lastRow="0" w:noHBand="0" w:noVBand="1" w:val="04A0"/>
      </w:tblPr>
      <w:tblGrid>
        <w:gridCol w:w="1008"/>
        <w:gridCol w:w="4536"/>
        <w:gridCol w:w="4536"/>
      </w:tblGrid>
      <w:tr>
        <w:trPr>
          <w:tblHeader w:val="true"/>
        </w:trPr>
        <w:tc>
          <w:tcPr>
            <w:tcW w:type="dxa" w:w="1008"/>
            <w:shd w:fill="D9EAF7"/>
            <w:vAlign w:val="center"/>
          </w:tcPr>
          <w:p>
            <w:r>
              <w:rPr>
                <w:b/>
                <w:sz w:val="17"/>
              </w:rPr>
              <w:t>Tier</w:t>
            </w:r>
          </w:p>
        </w:tc>
        <w:tc>
          <w:tcPr>
            <w:tcW w:type="dxa" w:w="4536"/>
            <w:shd w:fill="D9EAF7"/>
            <w:vAlign w:val="center"/>
          </w:tcPr>
          <w:p>
            <w:r>
              <w:rPr>
                <w:b/>
                <w:sz w:val="17"/>
              </w:rPr>
              <w:t>Runs</w:t>
            </w:r>
          </w:p>
        </w:tc>
        <w:tc>
          <w:tcPr>
            <w:tcW w:type="dxa" w:w="4536"/>
            <w:shd w:fill="D9EAF7"/>
            <w:vAlign w:val="center"/>
          </w:tcPr>
          <w:p>
            <w:r>
              <w:rPr>
                <w:b/>
                <w:sz w:val="17"/>
              </w:rPr>
              <w:t>Foundation v1 implementation</w:t>
            </w:r>
          </w:p>
        </w:tc>
      </w:tr>
      <w:tr>
        <w:trPr>
          <w:cantSplit/>
        </w:trPr>
        <w:tc>
          <w:tcPr>
            <w:tcW w:type="dxa" w:w="1008"/>
            <w:vAlign w:val="top"/>
          </w:tcPr>
          <w:p>
            <w:pPr>
              <w:spacing w:after="20"/>
            </w:pPr>
            <w:r>
              <w:rPr>
                <w:sz w:val="16"/>
              </w:rPr>
              <w:t>0</w:t>
            </w:r>
          </w:p>
        </w:tc>
        <w:tc>
          <w:tcPr>
            <w:tcW w:type="dxa" w:w="4536"/>
            <w:vAlign w:val="top"/>
          </w:tcPr>
          <w:p>
            <w:pPr>
              <w:spacing w:after="20"/>
            </w:pPr>
            <w:r>
              <w:rPr>
                <w:sz w:val="16"/>
              </w:rPr>
              <w:t>Trusted first-party code: Core, first-party providers, Freya reference agent runtime</w:t>
            </w:r>
          </w:p>
        </w:tc>
        <w:tc>
          <w:tcPr>
            <w:tcW w:type="dxa" w:w="4536"/>
            <w:vAlign w:val="top"/>
          </w:tcPr>
          <w:p>
            <w:pPr>
              <w:spacing w:after="20"/>
            </w:pPr>
            <w:r>
              <w:rPr>
                <w:sz w:val="16"/>
              </w:rPr>
              <w:t>Host process</w:t>
            </w:r>
          </w:p>
        </w:tc>
      </w:tr>
      <w:tr>
        <w:trPr>
          <w:cantSplit/>
        </w:trPr>
        <w:tc>
          <w:tcPr>
            <w:tcW w:type="dxa" w:w="1008"/>
            <w:vAlign w:val="top"/>
          </w:tcPr>
          <w:p>
            <w:pPr>
              <w:spacing w:after="20"/>
            </w:pPr>
            <w:r>
              <w:rPr>
                <w:sz w:val="16"/>
              </w:rPr>
              <w:t>1</w:t>
            </w:r>
          </w:p>
        </w:tc>
        <w:tc>
          <w:tcPr>
            <w:tcW w:type="dxa" w:w="4536"/>
            <w:vAlign w:val="top"/>
          </w:tcPr>
          <w:p>
            <w:pPr>
              <w:spacing w:after="20"/>
            </w:pPr>
            <w:r>
              <w:rPr>
                <w:sz w:val="16"/>
              </w:rPr>
              <w:t>Untrusted code: agent-written or agent-modified code, downloaded scripts/binaries, unapproved extension code</w:t>
            </w:r>
          </w:p>
        </w:tc>
        <w:tc>
          <w:tcPr>
            <w:tcW w:type="dxa" w:w="4536"/>
            <w:vAlign w:val="top"/>
          </w:tcPr>
          <w:p>
            <w:pPr>
              <w:spacing w:after="20"/>
            </w:pPr>
            <w:r>
              <w:rPr>
                <w:sz w:val="16"/>
              </w:rPr>
              <w:t>Container (Docker Engine or Podman) inside a dedicated WSL2 distribution with Windows drive automount and Windows interop disabled</w:t>
            </w:r>
          </w:p>
        </w:tc>
      </w:tr>
      <w:tr>
        <w:trPr>
          <w:cantSplit/>
        </w:trPr>
        <w:tc>
          <w:tcPr>
            <w:tcW w:type="dxa" w:w="1008"/>
            <w:vAlign w:val="top"/>
          </w:tcPr>
          <w:p>
            <w:pPr>
              <w:spacing w:after="20"/>
            </w:pPr>
            <w:r>
              <w:rPr>
                <w:sz w:val="16"/>
              </w:rPr>
              <w:t>2</w:t>
            </w:r>
          </w:p>
        </w:tc>
        <w:tc>
          <w:tcPr>
            <w:tcW w:type="dxa" w:w="4536"/>
            <w:vAlign w:val="top"/>
          </w:tcPr>
          <w:p>
            <w:pPr>
              <w:spacing w:after="20"/>
            </w:pPr>
            <w:r>
              <w:rPr>
                <w:sz w:val="16"/>
              </w:rPr>
              <w:t>High-risk code: unknown binaries, code requiring network access, extensions under evaluation</w:t>
            </w:r>
          </w:p>
        </w:tc>
        <w:tc>
          <w:tcPr>
            <w:tcW w:type="dxa" w:w="4536"/>
            <w:vAlign w:val="top"/>
          </w:tcPr>
          <w:p>
            <w:pPr>
              <w:spacing w:after="20"/>
            </w:pPr>
            <w:r>
              <w:rPr>
                <w:sz w:val="16"/>
              </w:rPr>
              <w:t>VM. Not available in v1: capabilities requiring Tier 2 report unavailable</w:t>
            </w:r>
          </w:p>
        </w:tc>
      </w:tr>
    </w:tbl>
    <w:p/>
    <w:p>
      <w:r>
        <w:rPr>
          <w:b/>
          <w:color w:val="C00000"/>
        </w:rPr>
        <w:t xml:space="preserve">EXEC-001 — MUST: </w:t>
      </w:r>
      <w:r>
        <w:t>Code written or modified by an agent, downloaded scripts and binaries, and unapproved extension code execute only inside an IsolationProvider sandbox at Tier 1 or higher.</w:t>
      </w:r>
      <w:r>
        <w:rPr>
          <w:i/>
          <w:color w:val="7F7F7F"/>
          <w:sz w:val="16"/>
        </w:rPr>
        <w:t xml:space="preserve"> [new v1.1]</w:t>
      </w:r>
    </w:p>
    <w:p>
      <w:r>
        <w:rPr>
          <w:b/>
          <w:color w:val="C00000"/>
        </w:rPr>
        <w:t xml:space="preserve">EXEC-002 — MUST: </w:t>
      </w:r>
      <w:r>
        <w:t>The default sandbox profile has no host mounts except a per-task scratch directory, no network, a non-root user, CPU/memory/disk/time limits, no secrets, and no GPU, and is destroyed at task end. Any deviation is an explicit, audited capability grant.</w:t>
      </w:r>
      <w:r>
        <w:rPr>
          <w:i/>
          <w:color w:val="7F7F7F"/>
          <w:sz w:val="16"/>
        </w:rPr>
        <w:t xml:space="preserve"> [new v1.1]</w:t>
      </w:r>
    </w:p>
    <w:p>
      <w:r>
        <w:rPr>
          <w:b/>
          <w:color w:val="C00000"/>
        </w:rPr>
        <w:t xml:space="preserve">EXEC-003 — MUST: </w:t>
      </w:r>
      <w:r>
        <w:t>Copying anything from a sandbox into user folders is a separate brokered capability in the write_local risk class, subject to SEC-013.</w:t>
      </w:r>
      <w:r>
        <w:rPr>
          <w:i/>
          <w:color w:val="7F7F7F"/>
          <w:sz w:val="16"/>
        </w:rPr>
        <w:t xml:space="preserve"> [new v1.1]</w:t>
      </w:r>
    </w:p>
    <w:p>
      <w:r>
        <w:rPr>
          <w:b/>
          <w:color w:val="C00000"/>
        </w:rPr>
        <w:t xml:space="preserve">EXEC-004 — MUST: </w:t>
      </w:r>
      <w:r>
        <w:t>If the isolation provider is unavailable, code_exec capabilities report unavailable; execution never falls back to the host.</w:t>
      </w:r>
      <w:r>
        <w:rPr>
          <w:i/>
          <w:color w:val="7F7F7F"/>
          <w:sz w:val="16"/>
        </w:rPr>
        <w:t xml:space="preserve"> [new v1.1]</w:t>
      </w:r>
    </w:p>
    <w:p>
      <w:r>
        <w:rPr>
          <w:b/>
          <w:color w:val="BF9000"/>
        </w:rPr>
        <w:t xml:space="preserve">EXEC-005 — SHOULD: </w:t>
      </w:r>
      <w:r>
        <w:t>Sandbox GPU access (CUDA via WSL2) is granted only when the capability explicitly requires it.</w:t>
      </w:r>
      <w:r>
        <w:rPr>
          <w:i/>
          <w:color w:val="7F7F7F"/>
          <w:sz w:val="16"/>
        </w:rPr>
        <w:t xml:space="preserve"> [new v1.1]</w:t>
      </w:r>
    </w:p>
    <w:p>
      <w:r>
        <w:rPr>
          <w:b/>
          <w:color w:val="C00000"/>
        </w:rPr>
        <w:t xml:space="preserve">EXEC-006 — MUST: </w:t>
      </w:r>
      <w:r>
        <w:t>The Tier 1 WSL2 distribution is dedicated to Freya sandboxes, has automount and interop disabled in wsl.conf, and is not used for development or other workloads. Container escape into this VM is an accepted v1 risk recorded in ADR-015.</w:t>
      </w:r>
      <w:r>
        <w:rPr>
          <w:i/>
          <w:color w:val="7F7F7F"/>
          <w:sz w:val="16"/>
        </w:rPr>
        <w:t xml:space="preserve"> [new v1.1]</w:t>
      </w:r>
    </w:p>
    <w:p>
      <w:pPr>
        <w:pStyle w:val="Heading2"/>
      </w:pPr>
      <w:r>
        <w:t>6.5 Delegation and Task Authority</w:t>
      </w:r>
      <w:r>
        <w:rPr>
          <w:i/>
          <w:color w:val="7F7F7F"/>
          <w:sz w:val="16"/>
        </w:rPr>
        <w:t xml:space="preserve"> [new v1.1]</w:t>
      </w:r>
    </w:p>
    <w:p>
      <w:r>
        <w:rPr>
          <w:b/>
          <w:color w:val="C00000"/>
        </w:rPr>
        <w:t xml:space="preserve">DEL-001 — MUST: </w:t>
      </w:r>
      <w:r>
        <w:t>When a user authorizes a task, Core creates a delegation record binding: user and security domain, originating client, agent runtime instance, task id, granted capabilities with constraints (e.g., allowed paths, allowed destinations), the untrusted-content flag (§6.3), expiry, and budget.</w:t>
      </w:r>
      <w:r>
        <w:rPr>
          <w:i/>
          <w:color w:val="7F7F7F"/>
          <w:sz w:val="16"/>
        </w:rPr>
        <w:t xml:space="preserve"> [new v1.1]</w:t>
      </w:r>
    </w:p>
    <w:p>
      <w:r>
        <w:rPr>
          <w:b/>
          <w:color w:val="C00000"/>
        </w:rPr>
        <w:t xml:space="preserve">DEL-002 — MUST: </w:t>
      </w:r>
      <w:r>
        <w:t>Delegations can only be attenuated as they pass down to sub-agents or sub-tasks; a child delegation is always a subset of its parent.</w:t>
      </w:r>
      <w:r>
        <w:rPr>
          <w:i/>
          <w:color w:val="7F7F7F"/>
          <w:sz w:val="16"/>
        </w:rPr>
        <w:t xml:space="preserve"> [new v1.1]</w:t>
      </w:r>
    </w:p>
    <w:p>
      <w:r>
        <w:rPr>
          <w:b/>
          <w:color w:val="C00000"/>
        </w:rPr>
        <w:t xml:space="preserve">DEL-003 — MUST: </w:t>
      </w:r>
      <w:r>
        <w:t>On every invocation the broker checks: the delegation is valid, unexpired, and unrevoked; the capability and target fall within its grants; the user's current permissions still allow the action; and the approval rules (§6.3, §6.6) are satisfied. Effective authority is the intersection of all four.</w:t>
      </w:r>
      <w:r>
        <w:rPr>
          <w:i/>
          <w:color w:val="7F7F7F"/>
          <w:sz w:val="16"/>
        </w:rPr>
        <w:t xml:space="preserve"> [new v1.1]</w:t>
      </w:r>
    </w:p>
    <w:p>
      <w:r>
        <w:rPr>
          <w:b/>
          <w:color w:val="C00000"/>
        </w:rPr>
        <w:t xml:space="preserve">DEL-004 — MUST: </w:t>
      </w:r>
      <w:r>
        <w:t>Revocation takes effect at the next broker call. In-flight operations are cancelled where their cancellation_semantics allow; revocation and its outcome are audited.</w:t>
      </w:r>
      <w:r>
        <w:rPr>
          <w:i/>
          <w:color w:val="7F7F7F"/>
          <w:sz w:val="16"/>
        </w:rPr>
        <w:t xml:space="preserve"> [new v1.1]</w:t>
      </w:r>
    </w:p>
    <w:p>
      <w:r>
        <w:rPr>
          <w:b/>
          <w:color w:val="C00000"/>
        </w:rPr>
        <w:t xml:space="preserve">DEL-005 — MUST: </w:t>
      </w:r>
      <w:r>
        <w:t>Delegation handles are never placed in model context.</w:t>
      </w:r>
      <w:r>
        <w:rPr>
          <w:i/>
          <w:color w:val="7F7F7F"/>
          <w:sz w:val="16"/>
        </w:rPr>
        <w:t xml:space="preserve"> [new v1.1]</w:t>
      </w:r>
    </w:p>
    <w:p>
      <w:r>
        <w:rPr>
          <w:b/>
          <w:color w:val="BF9000"/>
        </w:rPr>
        <w:t xml:space="preserve">DEL-006 — SHOULD: </w:t>
      </w:r>
      <w:r>
        <w:t>Delegations have short lifetimes and are renewed while the task is active, so abandoned or crashed tasks lose authority automatically.</w:t>
      </w:r>
      <w:r>
        <w:rPr>
          <w:i/>
          <w:color w:val="7F7F7F"/>
          <w:sz w:val="16"/>
        </w:rPr>
        <w:t xml:space="preserve"> [new v1.1]</w:t>
      </w:r>
    </w:p>
    <w:p>
      <w:r>
        <w:rPr>
          <w:b/>
          <w:color w:val="C00000"/>
        </w:rPr>
        <w:t xml:space="preserve">DEL-007 — MUST: </w:t>
      </w:r>
      <w:r>
        <w:t>A task's grant set comes from a user-selected task profile, or from a planner proposal made before any untrusted content is ingested. A proposal that exceeds the user's default profile for that kind of task requires approval before the delegation is created.</w:t>
      </w:r>
      <w:r>
        <w:rPr>
          <w:i/>
          <w:color w:val="7F7F7F"/>
          <w:sz w:val="16"/>
        </w:rPr>
        <w:t xml:space="preserve"> [new v1.1]</w:t>
      </w:r>
    </w:p>
    <w:p>
      <w:r>
        <w:t>In Foundation v1 a delegation is a row in the Core database and the runtime receives an opaque random handle that the broker looks up on each call. Cryptographically verifiable tokens (e.g., Biscuit) are introduced only when a second node must verify delegations without contacting Core; the interface does not change.</w:t>
      </w:r>
    </w:p>
    <w:p>
      <w:pPr>
        <w:pStyle w:val="Heading2"/>
      </w:pPr>
      <w:r>
        <w:t>6.6 Human Approval</w:t>
      </w:r>
      <w:r>
        <w:rPr>
          <w:i/>
          <w:color w:val="7F7F7F"/>
          <w:sz w:val="16"/>
        </w:rPr>
        <w:t xml:space="preserve"> [new v1.1]</w:t>
      </w:r>
    </w:p>
    <w:p>
      <w:r>
        <w:rPr>
          <w:b/>
          <w:color w:val="C00000"/>
        </w:rPr>
        <w:t xml:space="preserve">APPR-001 — MUST: </w:t>
      </w:r>
      <w:r>
        <w:t>Approvals are first-class Core objects. An ApprovalRequest states the capability, exact arguments (or their digest plus a human-readable summary), target, risk class, why the agent wants it, what data would leave the machine and to where, the task's trust state, and an expiry.</w:t>
      </w:r>
      <w:r>
        <w:rPr>
          <w:i/>
          <w:color w:val="7F7F7F"/>
          <w:sz w:val="16"/>
        </w:rPr>
        <w:t xml:space="preserve"> [new v1.1]</w:t>
      </w:r>
    </w:p>
    <w:p>
      <w:r>
        <w:rPr>
          <w:b/>
          <w:color w:val="C00000"/>
        </w:rPr>
        <w:t xml:space="preserve">APPR-002 — MUST: </w:t>
      </w:r>
      <w:r>
        <w:t>An approval authorizes exactly the request it was shown for. If the arguments change, a new approval is required.</w:t>
      </w:r>
      <w:r>
        <w:rPr>
          <w:i/>
          <w:color w:val="7F7F7F"/>
          <w:sz w:val="16"/>
        </w:rPr>
        <w:t xml:space="preserve"> [new v1.1]</w:t>
      </w:r>
    </w:p>
    <w:p>
      <w:r>
        <w:rPr>
          <w:b/>
          <w:color w:val="C00000"/>
        </w:rPr>
        <w:t xml:space="preserve">APPR-003 — MUST: </w:t>
      </w:r>
      <w:r>
        <w:t>Unanswered approvals expire as denied.</w:t>
      </w:r>
      <w:r>
        <w:rPr>
          <w:i/>
          <w:color w:val="7F7F7F"/>
          <w:sz w:val="16"/>
        </w:rPr>
        <w:t xml:space="preserve"> [new v1.1]</w:t>
      </w:r>
    </w:p>
    <w:p>
      <w:r>
        <w:rPr>
          <w:b/>
          <w:color w:val="C00000"/>
        </w:rPr>
        <w:t xml:space="preserve">APPR-004 — MUST: </w:t>
      </w:r>
      <w:r>
        <w:t>Only the authenticated user who owns the task, or a user with approval authority over it, may approve, and only from a client whose client scope includes approval for that risk class. physical, destructive, spend, and privileged approvals require an approval-capable client defined in policy (in v1: the local CLI and local desktop client).</w:t>
      </w:r>
      <w:r>
        <w:rPr>
          <w:i/>
          <w:color w:val="7F7F7F"/>
          <w:sz w:val="16"/>
        </w:rPr>
        <w:t xml:space="preserve"> [new v1.1]</w:t>
      </w:r>
    </w:p>
    <w:p>
      <w:r>
        <w:rPr>
          <w:b/>
          <w:color w:val="C00000"/>
        </w:rPr>
        <w:t xml:space="preserve">APPR-005 — MUST: </w:t>
      </w:r>
      <w:r>
        <w:t>Models and agents cannot approve, and approval responses never pass through model context.</w:t>
      </w:r>
      <w:r>
        <w:rPr>
          <w:i/>
          <w:color w:val="7F7F7F"/>
          <w:sz w:val="16"/>
        </w:rPr>
        <w:t xml:space="preserve"> [new v1.1]</w:t>
      </w:r>
    </w:p>
    <w:p>
      <w:r>
        <w:rPr>
          <w:b/>
          <w:color w:val="BF9000"/>
        </w:rPr>
        <w:t xml:space="preserve">APPR-006 — SHOULD: </w:t>
      </w:r>
      <w:r>
        <w:t>Approval history is reviewable so users can convert repetitive, low-risk approvals into narrowly scoped standing policies.</w:t>
      </w:r>
      <w:r>
        <w:rPr>
          <w:i/>
          <w:color w:val="7F7F7F"/>
          <w:sz w:val="16"/>
        </w:rPr>
        <w:t xml:space="preserve"> [new v1.1]</w:t>
      </w:r>
    </w:p>
    <w:p>
      <w:pPr>
        <w:pStyle w:val="Heading1"/>
      </w:pPr>
      <w:r>
        <w:t>7. Multi-User Architecture</w:t>
      </w:r>
    </w:p>
    <w:p>
      <w:r>
        <w:rPr>
          <w:b/>
          <w:color w:val="C00000"/>
        </w:rPr>
        <w:t xml:space="preserve">USR-001 — MUST: </w:t>
      </w:r>
      <w:r>
        <w:t>Support multiple user accounts/profiles with isolated conversation history, personal memory/context, preferences, files/data where appropriate, permissions, and audit identity.</w:t>
      </w:r>
    </w:p>
    <w:p>
      <w:r>
        <w:rPr>
          <w:b/>
          <w:color w:val="C00000"/>
        </w:rPr>
        <w:t xml:space="preserve">USR-002 — MUST: </w:t>
      </w:r>
      <w:r>
        <w:t>Support owner/admin and lower-privilege roles plus capability/action-specific policy.</w:t>
      </w:r>
    </w:p>
    <w:p>
      <w:r>
        <w:rPr>
          <w:b/>
          <w:color w:val="C00000"/>
        </w:rPr>
        <w:t xml:space="preserve">USR-003 — MUST: </w:t>
      </w:r>
      <w:r>
        <w:t>Shared underlying compute must not collapse logical user isolation.</w:t>
      </w:r>
    </w:p>
    <w:p>
      <w:r>
        <w:rPr>
          <w:b/>
          <w:color w:val="C00000"/>
        </w:rPr>
        <w:t xml:space="preserve">USR-004 — MUST: </w:t>
      </w:r>
      <w:r>
        <w:t>Context retrieval and memory queries must apply user/security-domain authorization before results reach an agent/model.</w:t>
      </w:r>
    </w:p>
    <w:p>
      <w:r>
        <w:rPr>
          <w:b/>
          <w:color w:val="C00000"/>
        </w:rPr>
        <w:t xml:space="preserve">USR-005 — MUST: </w:t>
      </w:r>
      <w:r>
        <w:t>Agent runtime instances are either stateless with all persistent state held in Freya services, or instantiated per user; a runtime instance never serves tasks for more than one user while holding runtime-internal memory.</w:t>
      </w:r>
      <w:r>
        <w:rPr>
          <w:i/>
          <w:color w:val="7F7F7F"/>
          <w:sz w:val="16"/>
        </w:rPr>
        <w:t xml:space="preserve"> [new v1.1]</w:t>
      </w:r>
    </w:p>
    <w:p>
      <w:pPr>
        <w:pStyle w:val="Heading1"/>
      </w:pPr>
      <w:r>
        <w:t>8. Memory, Context, and Knowledge</w:t>
      </w:r>
    </w:p>
    <w:p>
      <w:r>
        <w:t>Memory, context, and knowledge are distinct services. Vector search is an implementation mechanism, not the definition of memory.</w:t>
      </w:r>
    </w:p>
    <w:tbl>
      <w:tblPr>
        <w:tblStyle w:val="TableGrid"/>
        <w:tblW w:type="auto" w:w="0"/>
        <w:jc w:val="center"/>
        <w:tblLook w:firstColumn="1" w:firstRow="1" w:lastColumn="0" w:lastRow="0" w:noHBand="0" w:noVBand="1" w:val="04A0"/>
      </w:tblPr>
      <w:tblGrid>
        <w:gridCol w:w="2016"/>
        <w:gridCol w:w="4032"/>
        <w:gridCol w:w="4032"/>
      </w:tblGrid>
      <w:tr>
        <w:trPr>
          <w:tblHeader w:val="true"/>
        </w:trPr>
        <w:tc>
          <w:tcPr>
            <w:tcW w:type="dxa" w:w="2016"/>
            <w:shd w:fill="D9EAF7"/>
            <w:vAlign w:val="center"/>
          </w:tcPr>
          <w:p>
            <w:r>
              <w:rPr>
                <w:b/>
                <w:sz w:val="17"/>
              </w:rPr>
              <w:t>System</w:t>
            </w:r>
          </w:p>
        </w:tc>
        <w:tc>
          <w:tcPr>
            <w:tcW w:type="dxa" w:w="4032"/>
            <w:shd w:fill="D9EAF7"/>
            <w:vAlign w:val="center"/>
          </w:tcPr>
          <w:p>
            <w:r>
              <w:rPr>
                <w:b/>
                <w:sz w:val="17"/>
              </w:rPr>
              <w:t>Owns</w:t>
            </w:r>
          </w:p>
        </w:tc>
        <w:tc>
          <w:tcPr>
            <w:tcW w:type="dxa" w:w="4032"/>
            <w:shd w:fill="D9EAF7"/>
            <w:vAlign w:val="center"/>
          </w:tcPr>
          <w:p>
            <w:r>
              <w:rPr>
                <w:b/>
                <w:sz w:val="17"/>
              </w:rPr>
              <w:t>Candidate infrastructure</w:t>
            </w:r>
          </w:p>
        </w:tc>
      </w:tr>
      <w:tr>
        <w:trPr>
          <w:cantSplit/>
        </w:trPr>
        <w:tc>
          <w:tcPr>
            <w:tcW w:type="dxa" w:w="2016"/>
            <w:vAlign w:val="top"/>
          </w:tcPr>
          <w:p>
            <w:pPr>
              <w:spacing w:after="20"/>
            </w:pPr>
            <w:r>
              <w:rPr>
                <w:sz w:val="16"/>
              </w:rPr>
              <w:t>Memory Service</w:t>
            </w:r>
          </w:p>
        </w:tc>
        <w:tc>
          <w:tcPr>
            <w:tcW w:type="dxa" w:w="4032"/>
            <w:vAlign w:val="top"/>
          </w:tcPr>
          <w:p>
            <w:pPr>
              <w:spacing w:after="20"/>
            </w:pPr>
            <w:r>
              <w:rPr>
                <w:sz w:val="16"/>
              </w:rPr>
              <w:t>Durable user/system/episodic/semantic/procedural memory semantics and provenance</w:t>
            </w:r>
          </w:p>
        </w:tc>
        <w:tc>
          <w:tcPr>
            <w:tcW w:type="dxa" w:w="4032"/>
            <w:vAlign w:val="top"/>
          </w:tcPr>
          <w:p>
            <w:pPr>
              <w:spacing w:after="20"/>
            </w:pPr>
            <w:r>
              <w:rPr>
                <w:sz w:val="16"/>
              </w:rPr>
              <w:t>SQLite (v1), relational/object storage, Qdrant, Letta/Mem0-inspired extraction</w:t>
            </w:r>
          </w:p>
        </w:tc>
      </w:tr>
      <w:tr>
        <w:trPr>
          <w:cantSplit/>
        </w:trPr>
        <w:tc>
          <w:tcPr>
            <w:tcW w:type="dxa" w:w="2016"/>
            <w:vAlign w:val="top"/>
          </w:tcPr>
          <w:p>
            <w:pPr>
              <w:spacing w:after="20"/>
            </w:pPr>
            <w:r>
              <w:rPr>
                <w:sz w:val="16"/>
              </w:rPr>
              <w:t>Knowledge Service</w:t>
            </w:r>
          </w:p>
        </w:tc>
        <w:tc>
          <w:tcPr>
            <w:tcW w:type="dxa" w:w="4032"/>
            <w:vAlign w:val="top"/>
          </w:tcPr>
          <w:p>
            <w:pPr>
              <w:spacing w:after="20"/>
            </w:pPr>
            <w:r>
              <w:rPr>
                <w:sz w:val="16"/>
              </w:rPr>
              <w:t>Documents, manuals, source, web archives, datasets and canonical source references</w:t>
            </w:r>
          </w:p>
        </w:tc>
        <w:tc>
          <w:tcPr>
            <w:tcW w:type="dxa" w:w="4032"/>
            <w:vAlign w:val="top"/>
          </w:tcPr>
          <w:p>
            <w:pPr>
              <w:spacing w:after="20"/>
            </w:pPr>
            <w:r>
              <w:rPr>
                <w:sz w:val="16"/>
              </w:rPr>
              <w:t>Filesystem for canonical sources (v1), Docling, Qdrant, future GraphRAG/knowledge graph</w:t>
            </w:r>
          </w:p>
        </w:tc>
      </w:tr>
      <w:tr>
        <w:trPr>
          <w:cantSplit/>
        </w:trPr>
        <w:tc>
          <w:tcPr>
            <w:tcW w:type="dxa" w:w="2016"/>
            <w:vAlign w:val="top"/>
          </w:tcPr>
          <w:p>
            <w:pPr>
              <w:spacing w:after="20"/>
            </w:pPr>
            <w:r>
              <w:rPr>
                <w:sz w:val="16"/>
              </w:rPr>
              <w:t>Context Authority</w:t>
            </w:r>
          </w:p>
        </w:tc>
        <w:tc>
          <w:tcPr>
            <w:tcW w:type="dxa" w:w="4032"/>
            <w:vAlign w:val="top"/>
          </w:tcPr>
          <w:p>
            <w:pPr>
              <w:spacing w:after="20"/>
            </w:pPr>
            <w:r>
              <w:rPr>
                <w:sz w:val="16"/>
              </w:rPr>
              <w:t>Authorized task-specific selection, ranking, trust labeling, and token budgeting</w:t>
            </w:r>
          </w:p>
        </w:tc>
        <w:tc>
          <w:tcPr>
            <w:tcW w:type="dxa" w:w="4032"/>
            <w:vAlign w:val="top"/>
          </w:tcPr>
          <w:p>
            <w:pPr>
              <w:spacing w:after="20"/>
            </w:pPr>
            <w:r>
              <w:rPr>
                <w:sz w:val="16"/>
              </w:rPr>
              <w:t>Freya-owned semantics; replaceable retrieval/ranking components</w:t>
            </w:r>
          </w:p>
        </w:tc>
      </w:tr>
      <w:tr>
        <w:trPr>
          <w:cantSplit/>
        </w:trPr>
        <w:tc>
          <w:tcPr>
            <w:tcW w:type="dxa" w:w="2016"/>
            <w:vAlign w:val="top"/>
          </w:tcPr>
          <w:p>
            <w:pPr>
              <w:spacing w:after="20"/>
            </w:pPr>
            <w:r>
              <w:rPr>
                <w:sz w:val="16"/>
              </w:rPr>
              <w:t>Session Service</w:t>
            </w:r>
          </w:p>
        </w:tc>
        <w:tc>
          <w:tcPr>
            <w:tcW w:type="dxa" w:w="4032"/>
            <w:vAlign w:val="top"/>
          </w:tcPr>
          <w:p>
            <w:pPr>
              <w:spacing w:after="20"/>
            </w:pPr>
            <w:r>
              <w:rPr>
                <w:sz w:val="16"/>
              </w:rPr>
              <w:t>Conversation/session working state</w:t>
            </w:r>
          </w:p>
        </w:tc>
        <w:tc>
          <w:tcPr>
            <w:tcW w:type="dxa" w:w="4032"/>
            <w:vAlign w:val="top"/>
          </w:tcPr>
          <w:p>
            <w:pPr>
              <w:spacing w:after="20"/>
            </w:pPr>
            <w:r>
              <w:rPr>
                <w:sz w:val="16"/>
              </w:rPr>
              <w:t>Local/DB-backed implementation</w:t>
            </w:r>
          </w:p>
        </w:tc>
      </w:tr>
    </w:tbl>
    <w:p/>
    <w:p>
      <w:pPr>
        <w:pStyle w:val="CodeBlock"/>
      </w:pPr>
      <w:r>
        <w:t>MemoryRecord</w:t>
        <w:br/>
        <w:t xml:space="preserve">  id, type, content</w:t>
        <w:br/>
        <w:t xml:space="preserve">  owner, security_domain</w:t>
        <w:br/>
        <w:t xml:space="preserve">  source, source_timestamp</w:t>
        <w:br/>
        <w:t xml:space="preserve">  provenance_class   # user_stated | agent_inferred | document     [new v1.1]</w:t>
        <w:br/>
        <w:t xml:space="preserve">                     # | observation | federated</w:t>
        <w:br/>
        <w:t xml:space="preserve">  trust              # trusted | untrusted (§6.3)                    [new v1.1]</w:t>
        <w:br/>
        <w:t xml:space="preserve">  created_at, updated_at</w:t>
        <w:br/>
        <w:t xml:space="preserve">  confidence, importance</w:t>
        <w:br/>
        <w:t xml:space="preserve">  retention_policy, expiration</w:t>
        <w:br/>
        <w:t xml:space="preserve">  supersedes, superseded_by</w:t>
        <w:br/>
        <w:t xml:space="preserve">  permissions</w:t>
        <w:br/>
        <w:t xml:space="preserve">  embedding_refs, graph_refs</w:t>
      </w:r>
    </w:p>
    <w:p>
      <w:r>
        <w:rPr>
          <w:b/>
          <w:color w:val="C00000"/>
        </w:rPr>
        <w:t xml:space="preserve">MEM-001 — MUST: </w:t>
      </w:r>
      <w:r>
        <w:t>Retain provenance sufficient to distinguish explicit user statements, agent inference, document extraction, system observation, and federated information.</w:t>
      </w:r>
    </w:p>
    <w:p>
      <w:r>
        <w:rPr>
          <w:b/>
          <w:color w:val="C00000"/>
        </w:rPr>
        <w:t xml:space="preserve">MEM-002 — MUST: </w:t>
      </w:r>
      <w:r>
        <w:t>Support conflict/supersession rather than treating contradictory memories as equally current.</w:t>
      </w:r>
    </w:p>
    <w:p>
      <w:r>
        <w:rPr>
          <w:b/>
          <w:color w:val="C00000"/>
        </w:rPr>
        <w:t xml:space="preserve">MEM-003 — MUST: </w:t>
      </w:r>
      <w:r>
        <w:t>Apply authorization before memory/knowledge content is supplied to an agent or model.</w:t>
      </w:r>
    </w:p>
    <w:p>
      <w:r>
        <w:rPr>
          <w:b/>
          <w:color w:val="BF9000"/>
        </w:rPr>
        <w:t xml:space="preserve">MEM-004 — SHOULD: </w:t>
      </w:r>
      <w:r>
        <w:t>Perform consolidation asynchronously: extract durable facts, merge duplicates, detect conflicts, expire temporary items, update embeddings/graphs, and identify skill candidates.</w:t>
      </w:r>
    </w:p>
    <w:p>
      <w:r>
        <w:rPr>
          <w:b/>
          <w:color w:val="BF9000"/>
        </w:rPr>
        <w:t xml:space="preserve">MEM-005 — SHOULD: </w:t>
      </w:r>
      <w:r>
        <w:t>Retain canonical source material where practical; embeddings/graph projections are indexes, not the source of truth.</w:t>
      </w:r>
    </w:p>
    <w:p>
      <w:r>
        <w:rPr>
          <w:b/>
          <w:color w:val="548235"/>
        </w:rPr>
        <w:t xml:space="preserve">MEM-006 — MAY: </w:t>
      </w:r>
      <w:r>
        <w:t>Promote repeatedly successful procedures to versioned skill candidates only through validation and appropriate approval. Promotion is subject to ARCH-023.</w:t>
      </w:r>
      <w:r>
        <w:rPr>
          <w:i/>
          <w:color w:val="7F7F7F"/>
          <w:sz w:val="16"/>
        </w:rPr>
        <w:t xml:space="preserve"> [changed v1.1]</w:t>
      </w:r>
    </w:p>
    <w:p>
      <w:r>
        <w:rPr>
          <w:b/>
          <w:color w:val="C00000"/>
        </w:rPr>
        <w:t xml:space="preserve">MEM-007 — MUST: </w:t>
      </w:r>
      <w:r>
        <w:t>Memory writes by agents are brokered capabilities. Memories derived from untrusted content or agent inference are stored as untrusted and supplied to models as untrusted context; they become trusted only through explicit user confirmation.</w:t>
      </w:r>
      <w:r>
        <w:rPr>
          <w:i/>
          <w:color w:val="7F7F7F"/>
          <w:sz w:val="16"/>
        </w:rPr>
        <w:t xml:space="preserve"> [new v1.1]</w:t>
      </w:r>
    </w:p>
    <w:p>
      <w:r>
        <w:rPr>
          <w:b/>
          <w:color w:val="C00000"/>
        </w:rPr>
        <w:t xml:space="preserve">MEM-008 — MUST: </w:t>
      </w:r>
      <w:r>
        <w:t>Users can list, inspect, correct, and delete their own memories.</w:t>
      </w:r>
      <w:r>
        <w:rPr>
          <w:i/>
          <w:color w:val="7F7F7F"/>
          <w:sz w:val="16"/>
        </w:rPr>
        <w:t xml:space="preserve"> [new v1.1]</w:t>
      </w:r>
    </w:p>
    <w:p>
      <w:r>
        <w:rPr>
          <w:b/>
          <w:color w:val="C00000"/>
        </w:rPr>
        <w:t xml:space="preserve">MEM-009 — MUST: </w:t>
      </w:r>
      <w:r>
        <w:t>Deleting a memory or source removes it from canonical storage, derived indexes and embeddings, caches, and derived summaries; backups age out under their retention policy; audit records retain only identifiers and hashes (SEC-018).</w:t>
      </w:r>
      <w:r>
        <w:rPr>
          <w:i/>
          <w:color w:val="7F7F7F"/>
          <w:sz w:val="16"/>
        </w:rPr>
        <w:t xml:space="preserve"> [new v1.1]</w:t>
      </w:r>
    </w:p>
    <w:p>
      <w:pPr>
        <w:pStyle w:val="Heading1"/>
      </w:pPr>
      <w:r>
        <w:t>9. Model Runtime and Resource Architecture</w:t>
      </w:r>
    </w:p>
    <w:p>
      <w:r>
        <w:t>Freya requests model capabilities; it does not hard-code one model or runtime. Ollama is the initial local runtime candidate, with llama.cpp, vLLM, SGLang and other runtimes admitted through ModelRuntimeProvider.</w:t>
      </w:r>
    </w:p>
    <w:p>
      <w:pPr>
        <w:pStyle w:val="CodeBlock"/>
      </w:pPr>
      <w:r>
        <w:t>ModelInstance</w:t>
        <w:br/>
        <w:t xml:space="preserve">  model_id, runtime, node, accelerator</w:t>
        <w:br/>
        <w:t xml:space="preserve">  memory_reserved, context_capacity, quantization</w:t>
        <w:br/>
        <w:t xml:space="preserve">  state: unloaded|loading|ready|busy|draining|unloading|failed</w:t>
        <w:br/>
        <w:t xml:space="preserve">  state_authority: freya | runtime_observed     [new v1.1]</w:t>
        <w:br/>
        <w:t xml:space="preserve">  active_requests, last_used</w:t>
        <w:br/>
        <w:t xml:space="preserve">  load_cost, unload_cost</w:t>
        <w:br/>
        <w:t/>
        <w:br/>
        <w:t>ResourceRequirement</w:t>
        <w:br/>
        <w:t xml:space="preserve">  CPU: architecture, cores, threads</w:t>
        <w:br/>
        <w:t xml:space="preserve">  Memory: minimum, preferred</w:t>
        <w:br/>
        <w:t xml:space="preserve">  Accelerator: vendor/type/architecture/VRAM/features</w:t>
        <w:br/>
        <w:t xml:space="preserve">  Storage: capacity, performance, locality</w:t>
        <w:br/>
        <w:t xml:space="preserve">  Network: bandwidth, latency, internet_required</w:t>
        <w:br/>
        <w:t xml:space="preserve">  Model: model_id, runtime, quantization, context</w:t>
        <w:br/>
        <w:t xml:space="preserve">  Security: privacy_class, trust_level, security_domain</w:t>
        <w:br/>
        <w:t xml:space="preserve">  Execution: OS, container/VM/native, isolation_tier   [changed v1.1]</w:t>
        <w:br/>
        <w:t xml:space="preserve">  Power: estimated_watts, wake_allowed</w:t>
        <w:br/>
        <w:t xml:space="preserve">  Placement: local_only, affinity, anti_affinity, preferred_node</w:t>
      </w:r>
    </w:p>
    <w:p>
      <w:r>
        <w:rPr>
          <w:b/>
          <w:color w:val="C00000"/>
        </w:rPr>
        <w:t xml:space="preserve">RES-001 — MUST: </w:t>
      </w:r>
      <w:r>
        <w:t>Treat VRAM as a managed resource and support load/unload/drain decisions across LLM, image/video, vision, speech, and other accelerator workloads.</w:t>
      </w:r>
    </w:p>
    <w:p>
      <w:r>
        <w:rPr>
          <w:b/>
          <w:color w:val="C00000"/>
        </w:rPr>
        <w:t xml:space="preserve">RES-002 — MUST: </w:t>
      </w:r>
      <w:r>
        <w:t>Preserve non-Freya workload priority where configured, including a gaming mode that unloads all Freya GPU workloads and stops admitting new ones; GPU-requiring requests are then queued, routed to an eligible CPU/other provider, or reported unavailable, per capability policy.</w:t>
      </w:r>
      <w:r>
        <w:rPr>
          <w:i/>
          <w:color w:val="7F7F7F"/>
          <w:sz w:val="16"/>
        </w:rPr>
        <w:t xml:space="preserve"> [changed v1.1]</w:t>
      </w:r>
    </w:p>
    <w:p>
      <w:r>
        <w:rPr>
          <w:b/>
          <w:color w:val="C00000"/>
        </w:rPr>
        <w:t xml:space="preserve">RES-003 — MUST: </w:t>
      </w:r>
      <w:r>
        <w:t>Normalize accelerator capabilities rather than spreading CUDA/ROCm/XPU conditionals through higher layers.</w:t>
      </w:r>
    </w:p>
    <w:p>
      <w:r>
        <w:rPr>
          <w:b/>
          <w:color w:val="C00000"/>
        </w:rPr>
        <w:t xml:space="preserve">RES-004 — MUST: </w:t>
      </w:r>
      <w:r>
        <w:t>Keep resource placement policy distinct from execution mechanisms such as local execution, Ray, Maze, Dynamo, K3s, or future schedulers.</w:t>
      </w:r>
    </w:p>
    <w:p>
      <w:r>
        <w:rPr>
          <w:b/>
          <w:color w:val="BF9000"/>
        </w:rPr>
        <w:t xml:space="preserve">RES-005 — SHOULD: </w:t>
      </w:r>
      <w:r>
        <w:t>Maintain observed benchmark records including quality, latency, throughput, VRAM/RAM, load/unload time, power, success rate, and task-specific accuracy.</w:t>
      </w:r>
    </w:p>
    <w:p>
      <w:r>
        <w:rPr>
          <w:b/>
          <w:color w:val="BF9000"/>
        </w:rPr>
        <w:t xml:space="preserve">RES-006 — SHOULD: </w:t>
      </w:r>
      <w:r>
        <w:t>Use MLflow or equivalent for model/version/alias/lineage metadata while maintaining Freya-specific capability/privacy/hardware/benchmark overlays (post-v1).</w:t>
      </w:r>
      <w:r>
        <w:rPr>
          <w:i/>
          <w:color w:val="7F7F7F"/>
          <w:sz w:val="16"/>
        </w:rPr>
        <w:t xml:space="preserve"> [changed v1.1]</w:t>
      </w:r>
    </w:p>
    <w:p>
      <w:r>
        <w:rPr>
          <w:b/>
          <w:color w:val="BF9000"/>
        </w:rPr>
        <w:t xml:space="preserve">RES-007 — SHOULD: </w:t>
      </w:r>
      <w:r>
        <w:t>Evaluate NVIDIA Dynamo as a future distributed inference provider; it must not become Freya's governance authority.</w:t>
      </w:r>
    </w:p>
    <w:p>
      <w:r>
        <w:rPr>
          <w:b/>
          <w:color w:val="C00000"/>
        </w:rPr>
        <w:t xml:space="preserve">RES-008 — MUST: </w:t>
      </w:r>
      <w:r>
        <w:t>For each runtime there is exactly one residency authority. The Resource Manager decides which models are permitted, on which runtime/node, and within what VRAM budget; a runtime that manages its own residency (e.g., Ollama keep_alive and loaded-model limits) decides residency within that budget. Freya's ModelInstance state for such runtimes is marked runtime_observed and is never treated as authoritative.</w:t>
      </w:r>
      <w:r>
        <w:rPr>
          <w:i/>
          <w:color w:val="7F7F7F"/>
          <w:sz w:val="16"/>
        </w:rPr>
        <w:t xml:space="preserve"> [new v1.1]</w:t>
      </w:r>
    </w:p>
    <w:p>
      <w:r>
        <w:rPr>
          <w:b/>
          <w:color w:val="C00000"/>
        </w:rPr>
        <w:t xml:space="preserve">RES-009 — MUST: </w:t>
      </w:r>
      <w:r>
        <w:t>The Resource Manager observes actual accelerator usage, including non-Freya processes, through vendor telemetry (NVML for NVIDIA) rather than assuming its own bookkeeping is complete.</w:t>
      </w:r>
      <w:r>
        <w:rPr>
          <w:i/>
          <w:color w:val="7F7F7F"/>
          <w:sz w:val="16"/>
        </w:rPr>
        <w:t xml:space="preserve"> [new v1.1]</w:t>
      </w:r>
    </w:p>
    <w:p>
      <w:pPr>
        <w:pStyle w:val="Heading1"/>
      </w:pPr>
      <w:r>
        <w:t>10. Capability-Aware Model Escalation</w:t>
      </w:r>
    </w:p>
    <w:p>
      <w:r>
        <w:rPr>
          <w:b/>
          <w:color w:val="C00000"/>
        </w:rPr>
        <w:t xml:space="preserve">ESC-001 — MUST: </w:t>
      </w:r>
      <w:r>
        <w:t>Escalation triggers are explicit and configurable, and include at least: a configured number of consecutive failed verification attempts, an explicit user request for a higher model tier, and a capability declaring a model class unavailable locally.</w:t>
      </w:r>
      <w:r>
        <w:rPr>
          <w:i/>
          <w:color w:val="7F7F7F"/>
          <w:sz w:val="16"/>
        </w:rPr>
        <w:t xml:space="preserve"> [changed v1.1]</w:t>
      </w:r>
    </w:p>
    <w:p>
      <w:r>
        <w:rPr>
          <w:b/>
          <w:color w:val="BF9000"/>
        </w:rPr>
        <w:t xml:space="preserve">ESC-001a — SHOULD: </w:t>
      </w:r>
      <w:r>
        <w:t>Additionally estimate local sufficiency from task complexity, context needs, prior benchmark performance, and risk.</w:t>
      </w:r>
      <w:r>
        <w:rPr>
          <w:i/>
          <w:color w:val="7F7F7F"/>
          <w:sz w:val="16"/>
        </w:rPr>
        <w:t xml:space="preserve"> [new v1.1]</w:t>
      </w:r>
    </w:p>
    <w:p>
      <w:r>
        <w:rPr>
          <w:b/>
          <w:color w:val="C00000"/>
        </w:rPr>
        <w:t xml:space="preserve">ESC-002 — MUST: </w:t>
      </w:r>
      <w:r>
        <w:t>After the configured retry limit, a task ends in a declared state (failed or needs_escalation) and reports which verification failed. A task never reports success without passing its declared verification_strategy.</w:t>
      </w:r>
      <w:r>
        <w:rPr>
          <w:i/>
          <w:color w:val="7F7F7F"/>
          <w:sz w:val="16"/>
        </w:rPr>
        <w:t xml:space="preserve"> [changed v1.1]</w:t>
      </w:r>
    </w:p>
    <w:p>
      <w:r>
        <w:rPr>
          <w:b/>
          <w:color w:val="C00000"/>
        </w:rPr>
        <w:t xml:space="preserve">ESC-003 — MUST: </w:t>
      </w:r>
      <w:r>
        <w:t>Request authorization before sending protected/minimized context to an approved external model when policy requires it. Escalation is egress and is subject to SEC-013 and SEC-014.</w:t>
      </w:r>
      <w:r>
        <w:rPr>
          <w:i/>
          <w:color w:val="7F7F7F"/>
          <w:sz w:val="16"/>
        </w:rPr>
        <w:t xml:space="preserve"> [changed v1.1]</w:t>
      </w:r>
    </w:p>
    <w:p>
      <w:r>
        <w:rPr>
          <w:b/>
          <w:color w:val="C00000"/>
        </w:rPr>
        <w:t xml:space="preserve">ESC-004 — MUST: </w:t>
      </w:r>
      <w:r>
        <w:t>The escalation request state why escalation is useful, what information/code would leave the local environment, proposed provider/model or capability class, relevant privacy/cost implications, and the provider's data retention/training terms (LIC-007).</w:t>
      </w:r>
      <w:r>
        <w:rPr>
          <w:i/>
          <w:color w:val="7F7F7F"/>
          <w:sz w:val="16"/>
        </w:rPr>
        <w:t xml:space="preserve"> [changed v1.1]</w:t>
      </w:r>
    </w:p>
    <w:p>
      <w:r>
        <w:rPr>
          <w:b/>
          <w:color w:val="C00000"/>
        </w:rPr>
        <w:t xml:space="preserve">ESC-005 — MUST: </w:t>
      </w:r>
      <w:r>
        <w:t>Transmit only the minimum necessary authorized context.</w:t>
      </w:r>
    </w:p>
    <w:p>
      <w:pPr>
        <w:pStyle w:val="Heading1"/>
      </w:pPr>
      <w:r>
        <w:t>11. Goal Orchestration and Durable Workflows</w:t>
      </w:r>
    </w:p>
    <w:p>
      <w:pPr>
        <w:pStyle w:val="CodeBlock"/>
      </w:pPr>
      <w:r>
        <w:t>Goal</w:t>
        <w:br/>
        <w:t xml:space="preserve">  -&gt; Planner</w:t>
        <w:br/>
        <w:t xml:space="preserve">  -&gt; Plan</w:t>
        <w:br/>
        <w:t xml:space="preserve">  -&gt; Policy validation</w:t>
        <w:br/>
        <w:t xml:space="preserve">  -&gt; Execute capability/workflow   (via delegation, §6.5)</w:t>
        <w:br/>
        <w:t xml:space="preserve">  -&gt; Observe                       (results labeled per §6.3)</w:t>
        <w:br/>
        <w:t xml:space="preserve">  -&gt; Verify</w:t>
        <w:br/>
        <w:t xml:space="preserve">  -&gt; Continue | Replan | Escalate | Await approval | Stop</w:t>
      </w:r>
    </w:p>
    <w:p>
      <w:r>
        <w:rPr>
          <w:b/>
          <w:color w:val="C00000"/>
        </w:rPr>
        <w:t xml:space="preserve">ORCH-001 — MUST: </w:t>
      </w:r>
      <w:r>
        <w:t>Planner/agent runtime implementations remain replaceable and must not become Freya identity or policy authority.</w:t>
      </w:r>
    </w:p>
    <w:p>
      <w:r>
        <w:rPr>
          <w:b/>
          <w:color w:val="C00000"/>
        </w:rPr>
        <w:t xml:space="preserve">ORCH-002 — MUST: </w:t>
      </w:r>
      <w:r>
        <w:t>Persist sufficient workflow state for tasks whose correctness requires recovery after process/node restart.</w:t>
      </w:r>
    </w:p>
    <w:p>
      <w:r>
        <w:rPr>
          <w:b/>
          <w:color w:val="BF9000"/>
        </w:rPr>
        <w:t xml:space="preserve">ORCH-003 — SHOULD: </w:t>
      </w:r>
      <w:r>
        <w:t>Evaluate Temporal as DurableWorkflowProvider for multi-step/long-running/retryable workflows rather than implementing durable execution from scratch.</w:t>
      </w:r>
    </w:p>
    <w:p>
      <w:r>
        <w:rPr>
          <w:b/>
          <w:color w:val="C00000"/>
        </w:rPr>
        <w:t xml:space="preserve">ORCH-004 — MUST: </w:t>
      </w:r>
      <w:r>
        <w:t>Cancellation, timeout, retry, idempotency, compensation/rollback where applicable, and verification semantics must be explicit per capability/workflow.</w:t>
      </w:r>
    </w:p>
    <w:p>
      <w:r>
        <w:rPr>
          <w:b/>
          <w:color w:val="BF9000"/>
        </w:rPr>
        <w:t xml:space="preserve">ORCH-005 — SHOULD: </w:t>
      </w:r>
      <w:r>
        <w:t>Application/provider manager owns infrastructure lifecycle such as MCP connections; individual agent loops should not own shared infrastructure lifecycles.</w:t>
      </w:r>
    </w:p>
    <w:p>
      <w:r>
        <w:rPr>
          <w:b/>
          <w:color w:val="C00000"/>
        </w:rPr>
        <w:t xml:space="preserve">ORCH-006 — MUST: </w:t>
      </w:r>
      <w:r>
        <w:t>The broker passes an idempotency key on every invocation. Capabilities declared non_idempotent are invoked at most once per key. If the outcome of a non-idempotent invocation is unknown after a crash, timeout, or node loss, the invocation enters outcome_unknown and is never retried automatically; a human resolves it.</w:t>
      </w:r>
      <w:r>
        <w:rPr>
          <w:i/>
          <w:color w:val="7F7F7F"/>
          <w:sz w:val="16"/>
        </w:rPr>
        <w:t xml:space="preserve"> [new v1.1]</w:t>
      </w:r>
    </w:p>
    <w:p>
      <w:r>
        <w:rPr>
          <w:b/>
          <w:color w:val="C00000"/>
        </w:rPr>
        <w:t xml:space="preserve">ORCH-007 — MUST: </w:t>
      </w:r>
      <w:r>
        <w:t>Every task carries a budget (maximum steps, tokens, wall-clock time, and external cost) and stops in a declared state when any limit is reached.</w:t>
      </w:r>
      <w:r>
        <w:rPr>
          <w:i/>
          <w:color w:val="7F7F7F"/>
          <w:sz w:val="16"/>
        </w:rPr>
        <w:t xml:space="preserve"> [new v1.1]</w:t>
      </w:r>
    </w:p>
    <w:p>
      <w:pPr>
        <w:pStyle w:val="Heading2"/>
      </w:pPr>
      <w:r>
        <w:t>11.1 Agent Runtime Containment</w:t>
      </w:r>
      <w:r>
        <w:rPr>
          <w:i/>
          <w:color w:val="7F7F7F"/>
          <w:sz w:val="16"/>
        </w:rPr>
        <w:t xml:space="preserve"> [new v1.1]</w:t>
      </w:r>
    </w:p>
    <w:p>
      <w:r>
        <w:rPr>
          <w:b/>
          <w:color w:val="C00000"/>
        </w:rPr>
        <w:t xml:space="preserve">AGT-001 — MUST: </w:t>
      </w:r>
      <w:r>
        <w:t>An agent runtime receives tools only as Freya capability proxies; every tool call it makes is a Capability Broker invocation. Framework built-in tools (shell, code execution, files, browser, web) are disabled or replaced by proxies.</w:t>
      </w:r>
      <w:r>
        <w:rPr>
          <w:i/>
          <w:color w:val="7F7F7F"/>
          <w:sz w:val="16"/>
        </w:rPr>
        <w:t xml:space="preserve"> [new v1.1]</w:t>
      </w:r>
    </w:p>
    <w:p>
      <w:r>
        <w:rPr>
          <w:b/>
          <w:color w:val="C00000"/>
        </w:rPr>
        <w:t xml:space="preserve">AGT-002 — MUST: </w:t>
      </w:r>
      <w:r>
        <w:t>An agent runtime reaches models only through Freya's model capability, never by calling a model runtime or external API directly, so that Context Authority, trust labels, escalation rules, and audit apply.</w:t>
      </w:r>
      <w:r>
        <w:rPr>
          <w:i/>
          <w:color w:val="7F7F7F"/>
          <w:sz w:val="16"/>
        </w:rPr>
        <w:t xml:space="preserve"> [new v1.1]</w:t>
      </w:r>
    </w:p>
    <w:p>
      <w:r>
        <w:rPr>
          <w:b/>
          <w:color w:val="C00000"/>
        </w:rPr>
        <w:t xml:space="preserve">AGT-003 — MUST: </w:t>
      </w:r>
      <w:r>
        <w:t>Third-party agent runtimes run out of process and isolated, with network access only to Freya's tool and model endpoints, no host file access beyond their own scratch space, and no secrets. The tool and model endpoints are an internal runtime interface, separate from the Client Gateway, and must be reachable from the isolation environment (e.g., WSL2 mirrored networking or a dedicated host-side listener).</w:t>
      </w:r>
      <w:r>
        <w:rPr>
          <w:i/>
          <w:color w:val="7F7F7F"/>
          <w:sz w:val="16"/>
        </w:rPr>
        <w:t xml:space="preserve"> [new v1.1]</w:t>
      </w:r>
    </w:p>
    <w:p>
      <w:r>
        <w:rPr>
          <w:b/>
          <w:color w:val="C00000"/>
        </w:rPr>
        <w:t xml:space="preserve">AGT-004 — MUST: </w:t>
      </w:r>
      <w:r>
        <w:t>A third-party agent runtime is refused registration unless its adapter demonstrates that built-in tools are disabled and tool injection works (contract test).</w:t>
      </w:r>
      <w:r>
        <w:rPr>
          <w:i/>
          <w:color w:val="7F7F7F"/>
          <w:sz w:val="16"/>
        </w:rPr>
        <w:t xml:space="preserve"> [new v1.1]</w:t>
      </w:r>
    </w:p>
    <w:p>
      <w:r>
        <w:rPr>
          <w:b/>
          <w:color w:val="C00000"/>
        </w:rPr>
        <w:t xml:space="preserve">AGT-005 — MUST: </w:t>
      </w:r>
      <w:r>
        <w:t>Foundation v1 ships a minimal first-party agent loop, the Freya reference runtime, as the default: model call, brokered tool call, observation, stop conditions, budgets (ORCH-007), and progress/approval events. As trusted first-party code acting only through the broker, it may run as a Tier 0 host process.</w:t>
      </w:r>
      <w:r>
        <w:rPr>
          <w:i/>
          <w:color w:val="7F7F7F"/>
          <w:sz w:val="16"/>
        </w:rPr>
        <w:t xml:space="preserve"> [new v1.1]</w:t>
      </w:r>
    </w:p>
    <w:p>
      <w:r>
        <w:rPr>
          <w:b/>
          <w:color w:val="BF9000"/>
        </w:rPr>
        <w:t xml:space="preserve">AGT-006 — SHOULD: </w:t>
      </w:r>
      <w:r>
        <w:t>Third-party runtimes (e.g., Hermes, Agent Zero) are evaluated after Foundation v1 as the second AgentRuntimeProvider, serving as the runtime-replaceability test.</w:t>
      </w:r>
      <w:r>
        <w:rPr>
          <w:i/>
          <w:color w:val="7F7F7F"/>
          <w:sz w:val="16"/>
        </w:rPr>
        <w:t xml:space="preserve"> [new v1.1]</w:t>
      </w:r>
    </w:p>
    <w:p>
      <w:pPr>
        <w:pStyle w:val="Heading1"/>
      </w:pPr>
      <w:r>
        <w:t>12. Distributed Nodes and Messaging</w:t>
      </w:r>
    </w:p>
    <w:p>
      <w:r>
        <w:rPr>
          <w:b/>
          <w:color w:val="C00000"/>
        </w:rPr>
        <w:t xml:space="preserve">DIST-001 — MUST: </w:t>
      </w:r>
      <w:r>
        <w:t>Use a Freya node abstraction independent of Ray, K3s, Nomad, or any specific scheduler.</w:t>
      </w:r>
    </w:p>
    <w:p>
      <w:r>
        <w:rPr>
          <w:b/>
          <w:color w:val="C00000"/>
        </w:rPr>
        <w:t xml:space="preserve">DIST-002 — MUST: </w:t>
      </w:r>
      <w:r>
        <w:t>Support heterogeneous Windows/Linux nodes and future accelerator types through declared capabilities.</w:t>
      </w:r>
    </w:p>
    <w:p>
      <w:r>
        <w:rPr>
          <w:b/>
          <w:color w:val="C00000"/>
        </w:rPr>
        <w:t xml:space="preserve">DIST-003 — MUST: </w:t>
      </w:r>
      <w:r>
        <w:t>Node connectivity does not imply trust or authorization.</w:t>
      </w:r>
    </w:p>
    <w:p>
      <w:r>
        <w:rPr>
          <w:b/>
          <w:color w:val="BF9000"/>
        </w:rPr>
        <w:t xml:space="preserve">DIST-004 — SHOULD: </w:t>
      </w:r>
      <w:r>
        <w:t>Use NATS or equivalent behind messaging/event abstractions for distributed events, request/reply, and decoupled service communication (post-v1).</w:t>
      </w:r>
      <w:r>
        <w:rPr>
          <w:i/>
          <w:color w:val="7F7F7F"/>
          <w:sz w:val="16"/>
        </w:rPr>
        <w:t xml:space="preserve"> [changed v1.1]</w:t>
      </w:r>
    </w:p>
    <w:p>
      <w:r>
        <w:rPr>
          <w:b/>
          <w:color w:val="BF9000"/>
        </w:rPr>
        <w:t xml:space="preserve">DIST-005 — SHOULD: </w:t>
      </w:r>
      <w:r>
        <w:t>Introduce Ray/Maze/Dynamo/K3s only when scale/use cases justify them; single-node Foundation v1 must not require them.</w:t>
      </w:r>
    </w:p>
    <w:p>
      <w:r>
        <w:rPr>
          <w:b/>
          <w:color w:val="C00000"/>
        </w:rPr>
        <w:t xml:space="preserve">DIST-006 — MUST: </w:t>
      </w:r>
      <w:r>
        <w:t>Loss of a node/provider must produce bounded capability degradation, retries/failover where safe (ORCH-006), and clear state—not silent corruption.</w:t>
      </w:r>
      <w:r>
        <w:rPr>
          <w:i/>
          <w:color w:val="7F7F7F"/>
          <w:sz w:val="16"/>
        </w:rPr>
        <w:t xml:space="preserve"> [changed v1.1]</w:t>
      </w:r>
    </w:p>
    <w:p>
      <w:r>
        <w:rPr>
          <w:b/>
          <w:color w:val="BF9000"/>
        </w:rPr>
        <w:t xml:space="preserve">DIST-007 — SHOULD: </w:t>
      </w:r>
      <w:r>
        <w:t>When distribution is introduced, work assignment uses leases with fencing tokens so a node that lost its lease cannot complete stale work.</w:t>
      </w:r>
      <w:r>
        <w:rPr>
          <w:i/>
          <w:color w:val="7F7F7F"/>
          <w:sz w:val="16"/>
        </w:rPr>
        <w:t xml:space="preserve"> [new v1.1]</w:t>
      </w:r>
    </w:p>
    <w:p>
      <w:pPr>
        <w:pStyle w:val="Heading1"/>
      </w:pPr>
      <w:r>
        <w:t>13. Extension, MCP, and Skill Lifecycle</w:t>
      </w:r>
    </w:p>
    <w:p>
      <w:pPr>
        <w:pStyle w:val="CodeBlock"/>
      </w:pPr>
      <w:r>
        <w:t>discover</w:t>
        <w:br/>
        <w:t xml:space="preserve">  -&gt; quarantine</w:t>
        <w:br/>
        <w:t xml:space="preserve">  -&gt; provenance/signature verification</w:t>
        <w:br/>
        <w:t xml:space="preserve">  -&gt; static/dependency/license analysis</w:t>
        <w:br/>
        <w:t xml:space="preserve">  -&gt; permission/resource declaration</w:t>
        <w:br/>
        <w:t xml:space="preserve">  -&gt; compatibility validation</w:t>
        <w:br/>
        <w:t xml:space="preserve">  -&gt; admin/user consent as required</w:t>
        <w:br/>
        <w:t xml:space="preserve">  -&gt; sandbox install</w:t>
        <w:br/>
        <w:t xml:space="preserve">  -&gt; capability registration (definitions pinned by hash)   [changed v1.1]</w:t>
        <w:br/>
        <w:t xml:space="preserve">  -&gt; monitored operation (definition drift detection)       [changed v1.1]</w:t>
        <w:br/>
        <w:t xml:space="preserve">  -&gt; upgrade/rollback/remove</w:t>
      </w:r>
    </w:p>
    <w:p>
      <w:r>
        <w:rPr>
          <w:b/>
          <w:color w:val="C00000"/>
        </w:rPr>
        <w:t xml:space="preserve">EXT-001 — MUST: </w:t>
      </w:r>
      <w:r>
        <w:t>Every extension/provider manifest declare source, version, license, permissions, capabilities, dependencies, resource/network requirements, trust/provenance, and failure behavior.</w:t>
      </w:r>
    </w:p>
    <w:p>
      <w:r>
        <w:rPr>
          <w:b/>
          <w:color w:val="C00000"/>
        </w:rPr>
        <w:t xml:space="preserve">EXT-002 — MUST: </w:t>
      </w:r>
      <w:r>
        <w:t>Removing an optional extension removes its capabilities without breaking unrelated Freya systems.</w:t>
      </w:r>
    </w:p>
    <w:p>
      <w:r>
        <w:rPr>
          <w:b/>
          <w:color w:val="C00000"/>
        </w:rPr>
        <w:t xml:space="preserve">EXT-003 — MUST: </w:t>
      </w:r>
      <w:r>
        <w:t>Public MCP discovery must not equal automatic installation/trust.</w:t>
      </w:r>
    </w:p>
    <w:p>
      <w:r>
        <w:rPr>
          <w:b/>
          <w:color w:val="BF9000"/>
        </w:rPr>
        <w:t xml:space="preserve">EXT-004 — SHOULD: </w:t>
      </w:r>
      <w:r>
        <w:t>Use the official MCP Registry or compatible registry as discovery infrastructure while maintaining a Freya-vetted trust/approval overlay.</w:t>
      </w:r>
    </w:p>
    <w:p>
      <w:r>
        <w:rPr>
          <w:b/>
          <w:color w:val="C00000"/>
        </w:rPr>
        <w:t xml:space="preserve">EXT-005 — MUST: </w:t>
      </w:r>
      <w:r>
        <w:t>Skills/procedural knowledge declare required capabilities, permissions, resources, risk, allowed users/domains, inputs/outputs, verification, rollback, source, version, and trust.</w:t>
      </w:r>
    </w:p>
    <w:p>
      <w:r>
        <w:rPr>
          <w:b/>
          <w:color w:val="C00000"/>
        </w:rPr>
        <w:t xml:space="preserve">EXT-006 — MUST: </w:t>
      </w:r>
      <w:r>
        <w:t>At approval, the name, description, and input/output schema of each MCP tool or extension capability are pinned by hash. Any change disables the tool until it is re-approved.</w:t>
      </w:r>
      <w:r>
        <w:rPr>
          <w:i/>
          <w:color w:val="7F7F7F"/>
          <w:sz w:val="16"/>
        </w:rPr>
        <w:t xml:space="preserve"> [new v1.1]</w:t>
      </w:r>
    </w:p>
    <w:p>
      <w:r>
        <w:rPr>
          <w:b/>
          <w:color w:val="C00000"/>
        </w:rPr>
        <w:t xml:space="preserve">EXT-007 — MUST: </w:t>
      </w:r>
      <w:r>
        <w:t>MCP tool descriptions and tool outputs are untrusted content under §6.3.</w:t>
      </w:r>
      <w:r>
        <w:rPr>
          <w:i/>
          <w:color w:val="7F7F7F"/>
          <w:sz w:val="16"/>
        </w:rPr>
        <w:t xml:space="preserve"> [new v1.1]</w:t>
      </w:r>
    </w:p>
    <w:p>
      <w:pPr>
        <w:pStyle w:val="Heading1"/>
      </w:pPr>
      <w:r>
        <w:t>14. Multi-GUI and Client Architecture</w:t>
      </w:r>
    </w:p>
    <w:p>
      <w:r>
        <w:t>Freya has no inseparable canonical GUI. Multiple simultaneous clients are supported through a versioned Client Gateway and SDK.</w:t>
      </w:r>
    </w:p>
    <w:p>
      <w:pPr>
        <w:pStyle w:val="CodeBlock"/>
      </w:pPr>
      <w:r>
        <w:t xml:space="preserve">Desktop GUI   Web GUI   Mobile   Admin   Grow/Rack/Workshop   Custom GUI</w:t>
        <w:br/>
        <w:t xml:space="preserve">      \          |         |        |             |              /</w:t>
        <w:br/>
        <w:t xml:space="preserve">                          Client Gateway</w:t>
        <w:br/>
        <w:t xml:space="preserve">                                |</w:t>
        <w:br/>
        <w:t xml:space="preserve">                      authenticated session</w:t>
        <w:br/>
        <w:t xml:space="preserve">                                |</w:t>
        <w:br/>
        <w:t xml:space="preserve">               Capability + event + approval APIs</w:t>
        <w:br/>
        <w:t xml:space="preserve">                                |</w:t>
        <w:br/>
        <w:t xml:space="preserve">                    Policy / Capability Broker</w:t>
        <w:br/>
        <w:t xml:space="preserve">                                |</w:t>
        <w:br/>
        <w:t xml:space="preserve">                              Freya</w:t>
      </w:r>
    </w:p>
    <w:p>
      <w:r>
        <w:rPr>
          <w:b/>
          <w:color w:val="C00000"/>
        </w:rPr>
        <w:t xml:space="preserve">GUI-001 — MUST: </w:t>
      </w:r>
      <w:r>
        <w:t>Support multiple simultaneous GUI/client implementations without duplicating Freya identity or state.</w:t>
      </w:r>
    </w:p>
    <w:p>
      <w:r>
        <w:rPr>
          <w:b/>
          <w:color w:val="C00000"/>
        </w:rPr>
        <w:t xml:space="preserve">GUI-002 — MUST: </w:t>
      </w:r>
      <w:r>
        <w:t>Provide stable, versioned client/control-plane APIs and event/state streaming.</w:t>
      </w:r>
    </w:p>
    <w:p>
      <w:r>
        <w:rPr>
          <w:b/>
          <w:color w:val="C00000"/>
        </w:rPr>
        <w:t xml:space="preserve">GUI-003 — MUST: </w:t>
      </w:r>
      <w:r>
        <w:t>Support authenticated sessions, per-user/per-client permissions, capability discovery, subscriptions/events, action invocation, task progress, approval requests and responses (§6.6), task revocation, and compatibility/version negotiation.</w:t>
      </w:r>
      <w:r>
        <w:rPr>
          <w:i/>
          <w:color w:val="7F7F7F"/>
          <w:sz w:val="16"/>
        </w:rPr>
        <w:t xml:space="preserve"> [changed v1.1]</w:t>
      </w:r>
    </w:p>
    <w:p>
      <w:r>
        <w:rPr>
          <w:b/>
          <w:color w:val="C00000"/>
        </w:rPr>
        <w:t xml:space="preserve">GUI-004 — MUST: </w:t>
      </w:r>
      <w:r>
        <w:t>Treat GUIs as untrusted/limited clients; hidden UI controls are not security controls and clients cannot bypass policy.</w:t>
      </w:r>
    </w:p>
    <w:p>
      <w:r>
        <w:rPr>
          <w:b/>
          <w:color w:val="C00000"/>
        </w:rPr>
        <w:t xml:space="preserve">GUI-005 — MUST: </w:t>
      </w:r>
      <w:r>
        <w:t>Allow different GUIs to expose different capability subsets according to user, role, device/client, security domain, and context.</w:t>
      </w:r>
    </w:p>
    <w:p>
      <w:r>
        <w:rPr>
          <w:b/>
          <w:color w:val="BF9000"/>
        </w:rPr>
        <w:t xml:space="preserve">GUI-006 — SHOULD: </w:t>
      </w:r>
      <w:r>
        <w:t>Provide a Freya Client SDK and schema-driven interfaces suitable for third-party/custom GUI development.</w:t>
      </w:r>
    </w:p>
    <w:p>
      <w:r>
        <w:rPr>
          <w:b/>
          <w:color w:val="548235"/>
        </w:rPr>
        <w:t xml:space="preserve">GUI-007 — MAY: </w:t>
      </w:r>
      <w:r>
        <w:t>Allow Freya's coding/design agents to generate custom clients against the documented SDK, subject to normal code review, signing, permissions, sandboxing, and ARCH-023.</w:t>
      </w:r>
      <w:r>
        <w:rPr>
          <w:i/>
          <w:color w:val="7F7F7F"/>
          <w:sz w:val="16"/>
        </w:rPr>
        <w:t xml:space="preserve"> [changed v1.1]</w:t>
      </w:r>
    </w:p>
    <w:p>
      <w:r>
        <w:rPr>
          <w:b/>
          <w:color w:val="C00000"/>
        </w:rPr>
        <w:t xml:space="preserve">GUI-008 — MUST: </w:t>
      </w:r>
      <w:r>
        <w:t>In Foundation v1 the Client Gateway binds to the loopback interface only, requires a per-client credential on every request and WebSocket connection, validates the Origin header, and does not use wildcard CORS. Remote access is introduced later only with TLS and explicit device pairing.</w:t>
      </w:r>
      <w:r>
        <w:rPr>
          <w:i/>
          <w:color w:val="7F7F7F"/>
          <w:sz w:val="16"/>
        </w:rPr>
        <w:t xml:space="preserve"> [new v1.1]</w:t>
      </w:r>
    </w:p>
    <w:p>
      <w:pPr>
        <w:pStyle w:val="Heading1"/>
      </w:pPr>
      <w:r>
        <w:t>15. Automation, Computer Use, and Physical Devices</w:t>
      </w:r>
    </w:p>
    <w:p>
      <w:r>
        <w:rPr>
          <w:b/>
          <w:color w:val="C00000"/>
        </w:rPr>
        <w:t xml:space="preserve">PHY-001 — MUST: </w:t>
      </w:r>
      <w:r>
        <w:t>Physical devices are providers/capabilities, not directly controlled by arbitrary agents.</w:t>
      </w:r>
    </w:p>
    <w:p>
      <w:r>
        <w:rPr>
          <w:b/>
          <w:color w:val="BF9000"/>
        </w:rPr>
        <w:t xml:space="preserve">PHY-002 — SHOULD: </w:t>
      </w:r>
      <w:r>
        <w:t>Prefer native APIs/MCP/CLI integrations over GUI computer-use.</w:t>
      </w:r>
    </w:p>
    <w:p>
      <w:r>
        <w:rPr>
          <w:b/>
          <w:color w:val="C00000"/>
        </w:rPr>
        <w:t xml:space="preserve">PHY-003 — MUST: </w:t>
      </w:r>
      <w:r>
        <w:t>ComputerUseProvider operates under risk-based isolation and authorization; unrestricted main-desktop control is not the default. Screen content observed through computer use is untrusted content (§6.3).</w:t>
      </w:r>
      <w:r>
        <w:rPr>
          <w:i/>
          <w:color w:val="7F7F7F"/>
          <w:sz w:val="16"/>
        </w:rPr>
        <w:t xml:space="preserve"> [changed v1.1]</w:t>
      </w:r>
    </w:p>
    <w:p>
      <w:r>
        <w:rPr>
          <w:b/>
          <w:color w:val="C00000"/>
        </w:rPr>
        <w:t xml:space="preserve">PHY-004 — MUST: </w:t>
      </w:r>
      <w:r>
        <w:t>3D printer/CNC/home/grow actions support policy-defined confirmation (§6.6), interlocks, and audit appropriate to consequence, and are declared non_idempotent unless proven otherwise.</w:t>
      </w:r>
      <w:r>
        <w:rPr>
          <w:i/>
          <w:color w:val="7F7F7F"/>
          <w:sz w:val="16"/>
        </w:rPr>
        <w:t xml:space="preserve"> [changed v1.1]</w:t>
      </w:r>
    </w:p>
    <w:p>
      <w:r>
        <w:rPr>
          <w:b/>
          <w:color w:val="548235"/>
        </w:rPr>
        <w:t xml:space="preserve">PHY-005 — MAY: </w:t>
      </w:r>
      <w:r>
        <w:t>Integrate Home Assistant, Bambu/printing services, CAD providers, media servers, telephony, and future devices behind capability adapters.</w:t>
      </w:r>
    </w:p>
    <w:p>
      <w:pPr>
        <w:pStyle w:val="Heading1"/>
      </w:pPr>
      <w:r>
        <w:t>16. Observability, Evaluation, and Audit</w:t>
      </w:r>
    </w:p>
    <w:p>
      <w:r>
        <w:rPr>
          <w:b/>
          <w:color w:val="BF9000"/>
        </w:rPr>
        <w:t xml:space="preserve">OBS-001 — SHOULD: </w:t>
      </w:r>
      <w:r>
        <w:t>Emit OpenTelemetry-compatible traces/metrics/log correlation for Core, providers, agents, workflows, and model calls where practical.</w:t>
      </w:r>
    </w:p>
    <w:p>
      <w:r>
        <w:rPr>
          <w:b/>
          <w:color w:val="BF9000"/>
        </w:rPr>
        <w:t xml:space="preserve">OBS-002 — SHOULD: </w:t>
      </w:r>
      <w:r>
        <w:t>Use Prometheus-compatible hardware telemetry and vendor exporters rather than reinventing collection.</w:t>
      </w:r>
    </w:p>
    <w:p>
      <w:r>
        <w:rPr>
          <w:b/>
          <w:color w:val="BF9000"/>
        </w:rPr>
        <w:t xml:space="preserve">OBS-003 — SHOULD: </w:t>
      </w:r>
      <w:r>
        <w:t>Evaluate Langfuse/OpenLIT-style self-hosted AI observability as replaceable backends.</w:t>
      </w:r>
    </w:p>
    <w:p>
      <w:r>
        <w:rPr>
          <w:b/>
          <w:color w:val="BF9000"/>
        </w:rPr>
        <w:t xml:space="preserve">OBS-004 — SHOULD: </w:t>
      </w:r>
      <w:r>
        <w:t>Use Promptfoo/MLflow or equivalent for model/prompt/agent evaluation and security regression tests, including a maintained prompt-injection test corpus.</w:t>
      </w:r>
      <w:r>
        <w:rPr>
          <w:i/>
          <w:color w:val="7F7F7F"/>
          <w:sz w:val="16"/>
        </w:rPr>
        <w:t xml:space="preserve"> [changed v1.1]</w:t>
      </w:r>
    </w:p>
    <w:p>
      <w:r>
        <w:rPr>
          <w:b/>
          <w:color w:val="C00000"/>
        </w:rPr>
        <w:t xml:space="preserve">OBS-005 — MUST: </w:t>
      </w:r>
      <w:r>
        <w:t>Record policy-relevant and consequential actions in the Freya audit trail even when an external observability backend is absent.</w:t>
      </w:r>
    </w:p>
    <w:p>
      <w:pPr>
        <w:pStyle w:val="Heading1"/>
      </w:pPr>
      <w:r>
        <w:t>17. Licensing, Provenance, and Third-Party Governance</w:t>
      </w:r>
    </w:p>
    <w:p>
      <w:pPr>
        <w:pStyle w:val="CodeBlock"/>
      </w:pPr>
      <w:r>
        <w:t>ThirdPartyComponentManifest</w:t>
        <w:br/>
        <w:t xml:space="preserve">  project, version, source_repository</w:t>
        <w:br/>
        <w:t xml:space="preserve">  component_kind        # code | model_weights | dataset | external_service   [new v1.1]</w:t>
        <w:br/>
        <w:t xml:space="preserve">  license, license_version</w:t>
        <w:br/>
        <w:t xml:space="preserve">  acceptable_use_restrictions                                                   [new v1.1]</w:t>
        <w:br/>
        <w:t xml:space="preserve">  files_used, modified, linked, separate_process, network_service</w:t>
        <w:br/>
        <w:t xml:space="preserve">  redistributed, commercial_use_allowed</w:t>
        <w:br/>
        <w:t xml:space="preserve">  attribution_required, source_disclosure_required</w:t>
        <w:br/>
        <w:t xml:space="preserve">  data_retention_and_training_terms   # external services                      [new v1.1]</w:t>
        <w:br/>
        <w:t xml:space="preserve">  freya_adapter</w:t>
        <w:br/>
        <w:t xml:space="preserve">  security_review</w:t>
        <w:br/>
        <w:t xml:space="preserve">  provenance/signature</w:t>
        <w:br/>
        <w:t xml:space="preserve">  last_reviewed</w:t>
      </w:r>
    </w:p>
    <w:p>
      <w:r>
        <w:rPr>
          <w:b/>
          <w:color w:val="C00000"/>
        </w:rPr>
        <w:t xml:space="preserve">LIC-001 — MUST: </w:t>
      </w:r>
      <w:r>
        <w:t>Perform license review before integrating, copying, modifying, linking, redistributing, or commercially depending on third-party code, model weights, or datasets.</w:t>
      </w:r>
      <w:r>
        <w:rPr>
          <w:i/>
          <w:color w:val="7F7F7F"/>
          <w:sz w:val="16"/>
        </w:rPr>
        <w:t xml:space="preserve"> [changed v1.1]</w:t>
      </w:r>
    </w:p>
    <w:p>
      <w:r>
        <w:rPr>
          <w:b/>
          <w:color w:val="C00000"/>
        </w:rPr>
        <w:t xml:space="preserve">LIC-002 — MUST: </w:t>
      </w:r>
      <w:r>
        <w:t>Do not assume 'open source' or 'open weights' means unrestricted copying, commercial use, or redistribution.</w:t>
      </w:r>
      <w:r>
        <w:rPr>
          <w:i/>
          <w:color w:val="7F7F7F"/>
          <w:sz w:val="16"/>
        </w:rPr>
        <w:t xml:space="preserve"> [changed v1.1]</w:t>
      </w:r>
    </w:p>
    <w:p>
      <w:r>
        <w:rPr>
          <w:b/>
          <w:color w:val="BF9000"/>
        </w:rPr>
        <w:t xml:space="preserve">LIC-003 — SHOULD: </w:t>
      </w:r>
      <w:r>
        <w:t>Prefer permissive MIT/Apache-style components where technically suitable; isolate restrictive/copyleft/custom-license systems behind service boundaries when lawful and appropriate.</w:t>
      </w:r>
    </w:p>
    <w:p>
      <w:r>
        <w:rPr>
          <w:b/>
          <w:color w:val="C00000"/>
        </w:rPr>
        <w:t xml:space="preserve">LIC-004 — MUST: </w:t>
      </w:r>
      <w:r>
        <w:t>Record third-party component provenance and license obligations in machine-readable project metadata.</w:t>
      </w:r>
    </w:p>
    <w:p>
      <w:r>
        <w:rPr>
          <w:b/>
          <w:color w:val="C00000"/>
        </w:rPr>
        <w:t xml:space="preserve">LIC-005 — MUST: </w:t>
      </w:r>
      <w:r>
        <w:t>Before custom-building infrastructure, document the evaluated existing systems and why integration/adaptation/forking/borrowing is insufficient.</w:t>
      </w:r>
    </w:p>
    <w:p>
      <w:r>
        <w:rPr>
          <w:b/>
          <w:color w:val="C00000"/>
        </w:rPr>
        <w:t xml:space="preserve">LIC-006 — MUST: </w:t>
      </w:r>
      <w:r>
        <w:t>Model weights and datasets are tracked as third-party components with their license and acceptable-use restrictions; the model catalog refuses models without a recorded license.</w:t>
      </w:r>
      <w:r>
        <w:rPr>
          <w:i/>
          <w:color w:val="7F7F7F"/>
          <w:sz w:val="16"/>
        </w:rPr>
        <w:t xml:space="preserve"> [new v1.1]</w:t>
      </w:r>
    </w:p>
    <w:p>
      <w:r>
        <w:rPr>
          <w:b/>
          <w:color w:val="C00000"/>
        </w:rPr>
        <w:t xml:space="preserve">LIC-007 — MUST: </w:t>
      </w:r>
      <w:r>
        <w:t>External model and API providers record data retention and training-use terms, which are shown in escalation requests (ESC-004).</w:t>
      </w:r>
      <w:r>
        <w:rPr>
          <w:i/>
          <w:color w:val="7F7F7F"/>
          <w:sz w:val="16"/>
        </w:rPr>
        <w:t xml:space="preserve"> [new v1.1]</w:t>
      </w:r>
    </w:p>
    <w:p>
      <w:r>
        <w:rPr>
          <w:b/>
          <w:color w:val="BF9000"/>
        </w:rPr>
        <w:t xml:space="preserve">LIC-008 — SHOULD: </w:t>
      </w:r>
      <w:r>
        <w:t>Prefer tooling without commercial-use subscription requirements for core infrastructure (e.g., Docker Engine or Podman rather than Docker Desktop, per ADR-015).</w:t>
      </w:r>
      <w:r>
        <w:rPr>
          <w:i/>
          <w:color w:val="7F7F7F"/>
          <w:sz w:val="16"/>
        </w:rPr>
        <w:t xml:space="preserve"> [new v1.1]</w:t>
      </w:r>
    </w:p>
    <w:p>
      <w:pPr>
        <w:pStyle w:val="Heading1"/>
      </w:pPr>
      <w:r>
        <w:t>18. Updates, Backup, Recovery, and Rollback</w:t>
      </w:r>
    </w:p>
    <w:p>
      <w:r>
        <w:rPr>
          <w:b/>
          <w:color w:val="C00000"/>
        </w:rPr>
        <w:t xml:space="preserve">OPS-001 — MUST: </w:t>
      </w:r>
      <w:r>
        <w:t>Updates be versioned, verifiable, staged where practical, health-checked, and rollback-capable.</w:t>
      </w:r>
    </w:p>
    <w:p>
      <w:r>
        <w:rPr>
          <w:b/>
          <w:color w:val="BF9000"/>
        </w:rPr>
        <w:t xml:space="preserve">OPS-002 — SHOULD: </w:t>
      </w:r>
      <w:r>
        <w:t>Use TUF/Sigstore/in-toto patterns or implementations for secure update metadata, signing, and provenance (post-v1).</w:t>
      </w:r>
      <w:r>
        <w:rPr>
          <w:i/>
          <w:color w:val="7F7F7F"/>
          <w:sz w:val="16"/>
        </w:rPr>
        <w:t xml:space="preserve"> [changed v1.1]</w:t>
      </w:r>
    </w:p>
    <w:p>
      <w:r>
        <w:rPr>
          <w:b/>
          <w:color w:val="C00000"/>
        </w:rPr>
        <w:t xml:space="preserve">OPS-003 — MUST: </w:t>
      </w:r>
      <w:r>
        <w:t>Define backup/restore for Core configuration, user data, memory, knowledge indexes/sources, secrets metadata, audit state, delegation and approval state, provider configuration, and critical workflow state.</w:t>
      </w:r>
      <w:r>
        <w:rPr>
          <w:i/>
          <w:color w:val="7F7F7F"/>
          <w:sz w:val="16"/>
        </w:rPr>
        <w:t xml:space="preserve"> [changed v1.1]</w:t>
      </w:r>
    </w:p>
    <w:p>
      <w:r>
        <w:rPr>
          <w:b/>
          <w:color w:val="BF9000"/>
        </w:rPr>
        <w:t xml:space="preserve">OPS-004 — SHOULD: </w:t>
      </w:r>
      <w:r>
        <w:t>Use Kopia/restic or equivalent for host/file backups and Velero or equivalent for future Kubernetes resources/volumes.</w:t>
      </w:r>
    </w:p>
    <w:p>
      <w:r>
        <w:rPr>
          <w:b/>
          <w:color w:val="C00000"/>
        </w:rPr>
        <w:t xml:space="preserve">OPS-005 — MUST: </w:t>
      </w:r>
      <w:r>
        <w:t>Recovery procedures preserve security-domain ownership and do not accidentally merge identities/keys/authority across domains.</w:t>
      </w:r>
    </w:p>
    <w:p>
      <w:r>
        <w:rPr>
          <w:b/>
          <w:color w:val="C00000"/>
        </w:rPr>
        <w:t xml:space="preserve">OPS-006 — MUST: </w:t>
      </w:r>
      <w:r>
        <w:t>Destructive zeroization and normal backup/restore semantics remain distinct and policy-controlled.</w:t>
      </w:r>
    </w:p>
    <w:p>
      <w:r>
        <w:rPr>
          <w:b/>
          <w:color w:val="C00000"/>
        </w:rPr>
        <w:t xml:space="preserve">OPS-007 — MUST: </w:t>
      </w:r>
      <w:r>
        <w:t>Restoring a backup never restores live authority: delegations and pending approvals from a backup are restored as expired.</w:t>
      </w:r>
      <w:r>
        <w:rPr>
          <w:i/>
          <w:color w:val="7F7F7F"/>
          <w:sz w:val="16"/>
        </w:rPr>
        <w:t xml:space="preserve"> [new v1.1]</w:t>
      </w:r>
    </w:p>
    <w:p>
      <w:pPr>
        <w:pStyle w:val="Heading1"/>
      </w:pPr>
      <w:r>
        <w:t>19. Failure Semantics and Acceptance Tests</w:t>
      </w:r>
    </w:p>
    <w:tbl>
      <w:tblPr>
        <w:tblStyle w:val="TableGrid"/>
        <w:tblW w:type="auto" w:w="0"/>
        <w:jc w:val="center"/>
        <w:tblLook w:firstColumn="1" w:firstRow="1" w:lastColumn="0" w:lastRow="0" w:noHBand="0" w:noVBand="1" w:val="04A0"/>
      </w:tblPr>
      <w:tblGrid>
        <w:gridCol w:w="3528"/>
        <w:gridCol w:w="6552"/>
      </w:tblGrid>
      <w:tr>
        <w:trPr>
          <w:tblHeader w:val="true"/>
        </w:trPr>
        <w:tc>
          <w:tcPr>
            <w:tcW w:type="dxa" w:w="3528"/>
            <w:shd w:fill="D9EAF7"/>
            <w:vAlign w:val="center"/>
          </w:tcPr>
          <w:p>
            <w:r>
              <w:rPr>
                <w:b/>
                <w:sz w:val="17"/>
              </w:rPr>
              <w:t>Failure injection</w:t>
            </w:r>
          </w:p>
        </w:tc>
        <w:tc>
          <w:tcPr>
            <w:tcW w:type="dxa" w:w="6552"/>
            <w:shd w:fill="D9EAF7"/>
            <w:vAlign w:val="center"/>
          </w:tcPr>
          <w:p>
            <w:r>
              <w:rPr>
                <w:b/>
                <w:sz w:val="17"/>
              </w:rPr>
              <w:t>Required result</w:t>
            </w:r>
          </w:p>
        </w:tc>
      </w:tr>
      <w:tr>
        <w:trPr>
          <w:cantSplit/>
        </w:trPr>
        <w:tc>
          <w:tcPr>
            <w:tcW w:type="dxa" w:w="3528"/>
            <w:vAlign w:val="top"/>
          </w:tcPr>
          <w:p>
            <w:pPr>
              <w:spacing w:after="20"/>
            </w:pPr>
            <w:r>
              <w:rPr>
                <w:sz w:val="16"/>
              </w:rPr>
              <w:t>Provider removed</w:t>
            </w:r>
          </w:p>
        </w:tc>
        <w:tc>
          <w:tcPr>
            <w:tcW w:type="dxa" w:w="6552"/>
            <w:vAlign w:val="top"/>
          </w:tcPr>
          <w:p>
            <w:pPr>
              <w:spacing w:after="20"/>
            </w:pPr>
            <w:r>
              <w:rPr>
                <w:sz w:val="16"/>
              </w:rPr>
              <w:t>Only capabilities that depend on it in the declared dependency graph become unavailable; all others remain functional.</w:t>
            </w:r>
          </w:p>
        </w:tc>
      </w:tr>
      <w:tr>
        <w:trPr>
          <w:cantSplit/>
        </w:trPr>
        <w:tc>
          <w:tcPr>
            <w:tcW w:type="dxa" w:w="3528"/>
            <w:vAlign w:val="top"/>
          </w:tcPr>
          <w:p>
            <w:pPr>
              <w:spacing w:after="20"/>
            </w:pPr>
            <w:r>
              <w:rPr>
                <w:sz w:val="16"/>
              </w:rPr>
              <w:t>Hermes/agent runtime removed</w:t>
            </w:r>
          </w:p>
        </w:tc>
        <w:tc>
          <w:tcPr>
            <w:tcW w:type="dxa" w:w="6552"/>
            <w:vAlign w:val="top"/>
          </w:tcPr>
          <w:p>
            <w:pPr>
              <w:spacing w:after="20"/>
            </w:pPr>
            <w:r>
              <w:rPr>
                <w:sz w:val="16"/>
              </w:rPr>
              <w:t>Freya continues with another runtime or reports agent-runtime capability unavailable.</w:t>
            </w:r>
          </w:p>
        </w:tc>
      </w:tr>
      <w:tr>
        <w:trPr>
          <w:cantSplit/>
        </w:trPr>
        <w:tc>
          <w:tcPr>
            <w:tcW w:type="dxa" w:w="3528"/>
            <w:vAlign w:val="top"/>
          </w:tcPr>
          <w:p>
            <w:pPr>
              <w:spacing w:after="20"/>
            </w:pPr>
            <w:r>
              <w:rPr>
                <w:sz w:val="16"/>
              </w:rPr>
              <w:t>ComfyUI removed</w:t>
            </w:r>
          </w:p>
        </w:tc>
        <w:tc>
          <w:tcPr>
            <w:tcW w:type="dxa" w:w="6552"/>
            <w:vAlign w:val="top"/>
          </w:tcPr>
          <w:p>
            <w:pPr>
              <w:spacing w:after="20"/>
            </w:pPr>
            <w:r>
              <w:rPr>
                <w:sz w:val="16"/>
              </w:rPr>
              <w:t>Image generation unavailable; chat/security/memory remain functional.</w:t>
            </w:r>
          </w:p>
        </w:tc>
      </w:tr>
      <w:tr>
        <w:trPr>
          <w:cantSplit/>
        </w:trPr>
        <w:tc>
          <w:tcPr>
            <w:tcW w:type="dxa" w:w="3528"/>
            <w:vAlign w:val="top"/>
          </w:tcPr>
          <w:p>
            <w:pPr>
              <w:spacing w:after="20"/>
            </w:pPr>
            <w:r>
              <w:rPr>
                <w:sz w:val="16"/>
              </w:rPr>
              <w:t>Home Assistant removed</w:t>
            </w:r>
          </w:p>
        </w:tc>
        <w:tc>
          <w:tcPr>
            <w:tcW w:type="dxa" w:w="6552"/>
            <w:vAlign w:val="top"/>
          </w:tcPr>
          <w:p>
            <w:pPr>
              <w:spacing w:after="20"/>
            </w:pPr>
            <w:r>
              <w:rPr>
                <w:sz w:val="16"/>
              </w:rPr>
              <w:t>Home automation unavailable; unrelated systems remain functional.</w:t>
            </w:r>
          </w:p>
        </w:tc>
      </w:tr>
      <w:tr>
        <w:trPr>
          <w:cantSplit/>
        </w:trPr>
        <w:tc>
          <w:tcPr>
            <w:tcW w:type="dxa" w:w="3528"/>
            <w:vAlign w:val="top"/>
          </w:tcPr>
          <w:p>
            <w:pPr>
              <w:spacing w:after="20"/>
            </w:pPr>
            <w:r>
              <w:rPr>
                <w:sz w:val="16"/>
              </w:rPr>
              <w:t>Internet lost</w:t>
            </w:r>
          </w:p>
        </w:tc>
        <w:tc>
          <w:tcPr>
            <w:tcW w:type="dxa" w:w="6552"/>
            <w:vAlign w:val="top"/>
          </w:tcPr>
          <w:p>
            <w:pPr>
              <w:spacing w:after="20"/>
            </w:pPr>
            <w:r>
              <w:rPr>
                <w:sz w:val="16"/>
              </w:rPr>
              <w:t>Local authorized Freya capabilities continue; cloud/external capabilities clearly unavailable.</w:t>
            </w:r>
          </w:p>
        </w:tc>
      </w:tr>
      <w:tr>
        <w:trPr>
          <w:cantSplit/>
        </w:trPr>
        <w:tc>
          <w:tcPr>
            <w:tcW w:type="dxa" w:w="3528"/>
            <w:vAlign w:val="top"/>
          </w:tcPr>
          <w:p>
            <w:pPr>
              <w:spacing w:after="20"/>
            </w:pPr>
            <w:r>
              <w:rPr>
                <w:sz w:val="16"/>
              </w:rPr>
              <w:t>4090 unavailable</w:t>
            </w:r>
          </w:p>
        </w:tc>
        <w:tc>
          <w:tcPr>
            <w:tcW w:type="dxa" w:w="6552"/>
            <w:vAlign w:val="top"/>
          </w:tcPr>
          <w:p>
            <w:pPr>
              <w:spacing w:after="20"/>
            </w:pPr>
            <w:r>
              <w:rPr>
                <w:sz w:val="16"/>
              </w:rPr>
              <w:t>Freya degrades to CPU/other eligible nodes/providers where supported.</w:t>
            </w:r>
          </w:p>
        </w:tc>
      </w:tr>
      <w:tr>
        <w:trPr>
          <w:cantSplit/>
        </w:trPr>
        <w:tc>
          <w:tcPr>
            <w:tcW w:type="dxa" w:w="3528"/>
            <w:vAlign w:val="top"/>
          </w:tcPr>
          <w:p>
            <w:pPr>
              <w:spacing w:after="20"/>
            </w:pPr>
            <w:r>
              <w:rPr>
                <w:sz w:val="16"/>
              </w:rPr>
              <w:t>VRAM exhausted</w:t>
            </w:r>
          </w:p>
        </w:tc>
        <w:tc>
          <w:tcPr>
            <w:tcW w:type="dxa" w:w="6552"/>
            <w:vAlign w:val="top"/>
          </w:tcPr>
          <w:p>
            <w:pPr>
              <w:spacing w:after="20"/>
            </w:pPr>
            <w:r>
              <w:rPr>
                <w:sz w:val="16"/>
              </w:rPr>
              <w:t>Resource Manager queues, unloads/drains lower-priority eligible workloads, selects fallback, or reports insufficiency.</w:t>
            </w:r>
          </w:p>
        </w:tc>
      </w:tr>
      <w:tr>
        <w:trPr>
          <w:cantSplit/>
        </w:trPr>
        <w:tc>
          <w:tcPr>
            <w:tcW w:type="dxa" w:w="3528"/>
            <w:vAlign w:val="top"/>
          </w:tcPr>
          <w:p>
            <w:pPr>
              <w:spacing w:after="20"/>
            </w:pPr>
            <w:r>
              <w:rPr>
                <w:sz w:val="16"/>
              </w:rPr>
              <w:t>Policy data unavailable or invalid</w:t>
            </w:r>
            <w:r>
              <w:rPr>
                <w:i/>
                <w:color w:val="7F7F7F"/>
                <w:sz w:val="14"/>
              </w:rPr>
              <w:t xml:space="preserve"> [changed v1.1]</w:t>
            </w:r>
          </w:p>
        </w:tc>
        <w:tc>
          <w:tcPr>
            <w:tcW w:type="dxa" w:w="6552"/>
            <w:vAlign w:val="top"/>
          </w:tcPr>
          <w:p>
            <w:pPr>
              <w:spacing w:after="20"/>
            </w:pPr>
            <w:r>
              <w:rPr>
                <w:sz w:val="16"/>
              </w:rPr>
              <w:t>Protected actions fail closed. Cached decisions are used only per SEC-017; never default-allow.</w:t>
            </w:r>
          </w:p>
        </w:tc>
      </w:tr>
      <w:tr>
        <w:trPr>
          <w:cantSplit/>
        </w:trPr>
        <w:tc>
          <w:tcPr>
            <w:tcW w:type="dxa" w:w="3528"/>
            <w:vAlign w:val="top"/>
          </w:tcPr>
          <w:p>
            <w:pPr>
              <w:spacing w:after="20"/>
            </w:pPr>
            <w:r>
              <w:rPr>
                <w:sz w:val="16"/>
              </w:rPr>
              <w:t>Secrets provider unavailable</w:t>
            </w:r>
          </w:p>
        </w:tc>
        <w:tc>
          <w:tcPr>
            <w:tcW w:type="dxa" w:w="6552"/>
            <w:vAlign w:val="top"/>
          </w:tcPr>
          <w:p>
            <w:pPr>
              <w:spacing w:after="20"/>
            </w:pPr>
            <w:r>
              <w:rPr>
                <w:sz w:val="16"/>
              </w:rPr>
              <w:t>Capabilities requiring unavailable secrets fail explicitly; secrets are not substituted from insecure plaintext fallback.</w:t>
            </w:r>
          </w:p>
        </w:tc>
      </w:tr>
      <w:tr>
        <w:trPr>
          <w:cantSplit/>
        </w:trPr>
        <w:tc>
          <w:tcPr>
            <w:tcW w:type="dxa" w:w="3528"/>
            <w:vAlign w:val="top"/>
          </w:tcPr>
          <w:p>
            <w:pPr>
              <w:spacing w:after="20"/>
            </w:pPr>
            <w:r>
              <w:rPr>
                <w:sz w:val="16"/>
              </w:rPr>
              <w:t>Node lost mid-workflow</w:t>
            </w:r>
          </w:p>
        </w:tc>
        <w:tc>
          <w:tcPr>
            <w:tcW w:type="dxa" w:w="6552"/>
            <w:vAlign w:val="top"/>
          </w:tcPr>
          <w:p>
            <w:pPr>
              <w:spacing w:after="20"/>
            </w:pPr>
            <w:r>
              <w:rPr>
                <w:sz w:val="16"/>
              </w:rPr>
              <w:t>Durable workflow resumes/retries/fails deterministically according to declared semantics; non-idempotent steps enter outcome_unknown (ORCH-006).</w:t>
            </w:r>
          </w:p>
        </w:tc>
      </w:tr>
      <w:tr>
        <w:trPr>
          <w:cantSplit/>
        </w:trPr>
        <w:tc>
          <w:tcPr>
            <w:tcW w:type="dxa" w:w="3528"/>
            <w:vAlign w:val="top"/>
          </w:tcPr>
          <w:p>
            <w:pPr>
              <w:spacing w:after="20"/>
            </w:pPr>
            <w:r>
              <w:rPr>
                <w:sz w:val="16"/>
              </w:rPr>
              <w:t>GUI compromised</w:t>
            </w:r>
          </w:p>
        </w:tc>
        <w:tc>
          <w:tcPr>
            <w:tcW w:type="dxa" w:w="6552"/>
            <w:vAlign w:val="top"/>
          </w:tcPr>
          <w:p>
            <w:pPr>
              <w:spacing w:after="20"/>
            </w:pPr>
            <w:r>
              <w:rPr>
                <w:sz w:val="16"/>
              </w:rPr>
              <w:t>Client cannot exceed authenticated user/client/capability authority.</w:t>
            </w:r>
          </w:p>
        </w:tc>
      </w:tr>
      <w:tr>
        <w:trPr>
          <w:cantSplit/>
        </w:trPr>
        <w:tc>
          <w:tcPr>
            <w:tcW w:type="dxa" w:w="3528"/>
            <w:vAlign w:val="top"/>
          </w:tcPr>
          <w:p>
            <w:pPr>
              <w:spacing w:after="20"/>
            </w:pPr>
            <w:r>
              <w:rPr>
                <w:sz w:val="16"/>
              </w:rPr>
              <w:t>Federated peer compromised</w:t>
            </w:r>
          </w:p>
        </w:tc>
        <w:tc>
          <w:tcPr>
            <w:tcW w:type="dxa" w:w="6552"/>
            <w:vAlign w:val="top"/>
          </w:tcPr>
          <w:p>
            <w:pPr>
              <w:spacing w:after="20"/>
            </w:pPr>
            <w:r>
              <w:rPr>
                <w:sz w:val="16"/>
              </w:rPr>
              <w:t>Compromise is bounded by explicit federation trust/permissions and does not grant administrative sovereignty (post-v1; Appendix A).</w:t>
            </w:r>
          </w:p>
        </w:tc>
      </w:tr>
      <w:tr>
        <w:trPr>
          <w:cantSplit/>
        </w:trPr>
        <w:tc>
          <w:tcPr>
            <w:tcW w:type="dxa" w:w="3528"/>
            <w:vAlign w:val="top"/>
          </w:tcPr>
          <w:p>
            <w:pPr>
              <w:spacing w:after="20"/>
            </w:pPr>
            <w:r>
              <w:rPr>
                <w:sz w:val="16"/>
              </w:rPr>
              <w:t>Extension upgrade fails</w:t>
            </w:r>
          </w:p>
        </w:tc>
        <w:tc>
          <w:tcPr>
            <w:tcW w:type="dxa" w:w="6552"/>
            <w:vAlign w:val="top"/>
          </w:tcPr>
          <w:p>
            <w:pPr>
              <w:spacing w:after="20"/>
            </w:pPr>
            <w:r>
              <w:rPr>
                <w:sz w:val="16"/>
              </w:rPr>
              <w:t>Rollback or disable extension; unrelated Core remains functional.</w:t>
            </w:r>
          </w:p>
        </w:tc>
      </w:tr>
      <w:tr>
        <w:trPr>
          <w:cantSplit/>
        </w:trPr>
        <w:tc>
          <w:tcPr>
            <w:tcW w:type="dxa" w:w="3528"/>
            <w:vAlign w:val="top"/>
          </w:tcPr>
          <w:p>
            <w:pPr>
              <w:spacing w:after="20"/>
            </w:pPr>
            <w:r>
              <w:rPr>
                <w:sz w:val="16"/>
              </w:rPr>
              <w:t>Generated code malicious</w:t>
            </w:r>
          </w:p>
        </w:tc>
        <w:tc>
          <w:tcPr>
            <w:tcW w:type="dxa" w:w="6552"/>
            <w:vAlign w:val="top"/>
          </w:tcPr>
          <w:p>
            <w:pPr>
              <w:spacing w:after="20"/>
            </w:pPr>
            <w:r>
              <w:rPr>
                <w:sz w:val="16"/>
              </w:rPr>
              <w:t>Execution remains inside assigned sandbox/VM and cannot access undeclared host resources.</w:t>
            </w:r>
          </w:p>
        </w:tc>
      </w:tr>
      <w:tr>
        <w:trPr>
          <w:cantSplit/>
        </w:trPr>
        <w:tc>
          <w:tcPr>
            <w:tcW w:type="dxa" w:w="3528"/>
            <w:vAlign w:val="top"/>
          </w:tcPr>
          <w:p>
            <w:pPr>
              <w:spacing w:after="20"/>
            </w:pPr>
            <w:r>
              <w:rPr>
                <w:sz w:val="16"/>
              </w:rPr>
              <w:t>Malicious instructions in a document, web page, email, or tool output</w:t>
            </w:r>
            <w:r>
              <w:rPr>
                <w:i/>
                <w:color w:val="7F7F7F"/>
                <w:sz w:val="14"/>
              </w:rPr>
              <w:t xml:space="preserve"> [new v1.1]</w:t>
            </w:r>
          </w:p>
        </w:tc>
        <w:tc>
          <w:tcPr>
            <w:tcW w:type="dxa" w:w="6552"/>
            <w:vAlign w:val="top"/>
          </w:tcPr>
          <w:p>
            <w:pPr>
              <w:spacing w:after="20"/>
            </w:pPr>
            <w:r>
              <w:rPr>
                <w:sz w:val="16"/>
              </w:rPr>
              <w:t>No capability outside the original grant executes; consequential actions are held for approval; the attempt is audited.</w:t>
            </w:r>
          </w:p>
        </w:tc>
      </w:tr>
      <w:tr>
        <w:trPr>
          <w:cantSplit/>
        </w:trPr>
        <w:tc>
          <w:tcPr>
            <w:tcW w:type="dxa" w:w="3528"/>
            <w:vAlign w:val="top"/>
          </w:tcPr>
          <w:p>
            <w:pPr>
              <w:spacing w:after="20"/>
            </w:pPr>
            <w:r>
              <w:rPr>
                <w:sz w:val="16"/>
              </w:rPr>
              <w:t>Exfiltration attempt via URL, query string, or external model request</w:t>
            </w:r>
            <w:r>
              <w:rPr>
                <w:i/>
                <w:color w:val="7F7F7F"/>
                <w:sz w:val="14"/>
              </w:rPr>
              <w:t xml:space="preserve"> [new v1.1]</w:t>
            </w:r>
          </w:p>
        </w:tc>
        <w:tc>
          <w:tcPr>
            <w:tcW w:type="dxa" w:w="6552"/>
            <w:vAlign w:val="top"/>
          </w:tcPr>
          <w:p>
            <w:pPr>
              <w:spacing w:after="20"/>
            </w:pPr>
            <w:r>
              <w:rPr>
                <w:sz w:val="16"/>
              </w:rPr>
              <w:t>Blocked by the per-task egress allowlist and audited.</w:t>
            </w:r>
          </w:p>
        </w:tc>
      </w:tr>
      <w:tr>
        <w:trPr>
          <w:cantSplit/>
        </w:trPr>
        <w:tc>
          <w:tcPr>
            <w:tcW w:type="dxa" w:w="3528"/>
            <w:vAlign w:val="top"/>
          </w:tcPr>
          <w:p>
            <w:pPr>
              <w:spacing w:after="20"/>
            </w:pPr>
            <w:r>
              <w:rPr>
                <w:sz w:val="16"/>
              </w:rPr>
              <w:t>Agent runtime attempts direct file, shell, network, or model access</w:t>
            </w:r>
            <w:r>
              <w:rPr>
                <w:i/>
                <w:color w:val="7F7F7F"/>
                <w:sz w:val="14"/>
              </w:rPr>
              <w:t xml:space="preserve"> [new v1.1]</w:t>
            </w:r>
          </w:p>
        </w:tc>
        <w:tc>
          <w:tcPr>
            <w:tcW w:type="dxa" w:w="6552"/>
            <w:vAlign w:val="top"/>
          </w:tcPr>
          <w:p>
            <w:pPr>
              <w:spacing w:after="20"/>
            </w:pPr>
            <w:r>
              <w:rPr>
                <w:sz w:val="16"/>
              </w:rPr>
              <w:t>Blocked by isolation; audited; task flagged.</w:t>
            </w:r>
          </w:p>
        </w:tc>
      </w:tr>
      <w:tr>
        <w:trPr>
          <w:cantSplit/>
        </w:trPr>
        <w:tc>
          <w:tcPr>
            <w:tcW w:type="dxa" w:w="3528"/>
            <w:vAlign w:val="top"/>
          </w:tcPr>
          <w:p>
            <w:pPr>
              <w:spacing w:after="20"/>
            </w:pPr>
            <w:r>
              <w:rPr>
                <w:sz w:val="16"/>
              </w:rPr>
              <w:t>Sandbox unavailable</w:t>
            </w:r>
            <w:r>
              <w:rPr>
                <w:i/>
                <w:color w:val="7F7F7F"/>
                <w:sz w:val="14"/>
              </w:rPr>
              <w:t xml:space="preserve"> [new v1.1]</w:t>
            </w:r>
          </w:p>
        </w:tc>
        <w:tc>
          <w:tcPr>
            <w:tcW w:type="dxa" w:w="6552"/>
            <w:vAlign w:val="top"/>
          </w:tcPr>
          <w:p>
            <w:pPr>
              <w:spacing w:after="20"/>
            </w:pPr>
            <w:r>
              <w:rPr>
                <w:sz w:val="16"/>
              </w:rPr>
              <w:t>code_exec capabilities unavailable; no host fallback.</w:t>
            </w:r>
          </w:p>
        </w:tc>
      </w:tr>
      <w:tr>
        <w:trPr>
          <w:cantSplit/>
        </w:trPr>
        <w:tc>
          <w:tcPr>
            <w:tcW w:type="dxa" w:w="3528"/>
            <w:vAlign w:val="top"/>
          </w:tcPr>
          <w:p>
            <w:pPr>
              <w:spacing w:after="20"/>
            </w:pPr>
            <w:r>
              <w:rPr>
                <w:sz w:val="16"/>
              </w:rPr>
              <w:t>Generated code reads C:\Users or opens a network connection</w:t>
            </w:r>
            <w:r>
              <w:rPr>
                <w:i/>
                <w:color w:val="7F7F7F"/>
                <w:sz w:val="14"/>
              </w:rPr>
              <w:t xml:space="preserve"> [new v1.1]</w:t>
            </w:r>
          </w:p>
        </w:tc>
        <w:tc>
          <w:tcPr>
            <w:tcW w:type="dxa" w:w="6552"/>
            <w:vAlign w:val="top"/>
          </w:tcPr>
          <w:p>
            <w:pPr>
              <w:spacing w:after="20"/>
            </w:pPr>
            <w:r>
              <w:rPr>
                <w:sz w:val="16"/>
              </w:rPr>
              <w:t>Fails inside the sandbox; audited.</w:t>
            </w:r>
          </w:p>
        </w:tc>
      </w:tr>
      <w:tr>
        <w:trPr>
          <w:cantSplit/>
        </w:trPr>
        <w:tc>
          <w:tcPr>
            <w:tcW w:type="dxa" w:w="3528"/>
            <w:vAlign w:val="top"/>
          </w:tcPr>
          <w:p>
            <w:pPr>
              <w:spacing w:after="20"/>
            </w:pPr>
            <w:r>
              <w:rPr>
                <w:sz w:val="16"/>
              </w:rPr>
              <w:t>Permission revoked mid-task</w:t>
            </w:r>
            <w:r>
              <w:rPr>
                <w:i/>
                <w:color w:val="7F7F7F"/>
                <w:sz w:val="14"/>
              </w:rPr>
              <w:t xml:space="preserve"> [new v1.1]</w:t>
            </w:r>
          </w:p>
        </w:tc>
        <w:tc>
          <w:tcPr>
            <w:tcW w:type="dxa" w:w="6552"/>
            <w:vAlign w:val="top"/>
          </w:tcPr>
          <w:p>
            <w:pPr>
              <w:spacing w:after="20"/>
            </w:pPr>
            <w:r>
              <w:rPr>
                <w:sz w:val="16"/>
              </w:rPr>
              <w:t>Next broker call denied; in-flight operations cancelled per declared semantics.</w:t>
            </w:r>
          </w:p>
        </w:tc>
      </w:tr>
      <w:tr>
        <w:trPr>
          <w:cantSplit/>
        </w:trPr>
        <w:tc>
          <w:tcPr>
            <w:tcW w:type="dxa" w:w="3528"/>
            <w:vAlign w:val="top"/>
          </w:tcPr>
          <w:p>
            <w:pPr>
              <w:spacing w:after="20"/>
            </w:pPr>
            <w:r>
              <w:rPr>
                <w:sz w:val="16"/>
              </w:rPr>
              <w:t>Delegation handle reused after task end</w:t>
            </w:r>
            <w:r>
              <w:rPr>
                <w:i/>
                <w:color w:val="7F7F7F"/>
                <w:sz w:val="14"/>
              </w:rPr>
              <w:t xml:space="preserve"> [new v1.1]</w:t>
            </w:r>
          </w:p>
        </w:tc>
        <w:tc>
          <w:tcPr>
            <w:tcW w:type="dxa" w:w="6552"/>
            <w:vAlign w:val="top"/>
          </w:tcPr>
          <w:p>
            <w:pPr>
              <w:spacing w:after="20"/>
            </w:pPr>
            <w:r>
              <w:rPr>
                <w:sz w:val="16"/>
              </w:rPr>
              <w:t>Denied and audited.</w:t>
            </w:r>
          </w:p>
        </w:tc>
      </w:tr>
      <w:tr>
        <w:trPr>
          <w:cantSplit/>
        </w:trPr>
        <w:tc>
          <w:tcPr>
            <w:tcW w:type="dxa" w:w="3528"/>
            <w:vAlign w:val="top"/>
          </w:tcPr>
          <w:p>
            <w:pPr>
              <w:spacing w:after="20"/>
            </w:pPr>
            <w:r>
              <w:rPr>
                <w:sz w:val="16"/>
              </w:rPr>
              <w:t>Sub-agent requests a capability its parent lacks</w:t>
            </w:r>
            <w:r>
              <w:rPr>
                <w:i/>
                <w:color w:val="7F7F7F"/>
                <w:sz w:val="14"/>
              </w:rPr>
              <w:t xml:space="preserve"> [new v1.1]</w:t>
            </w:r>
          </w:p>
        </w:tc>
        <w:tc>
          <w:tcPr>
            <w:tcW w:type="dxa" w:w="6552"/>
            <w:vAlign w:val="top"/>
          </w:tcPr>
          <w:p>
            <w:pPr>
              <w:spacing w:after="20"/>
            </w:pPr>
            <w:r>
              <w:rPr>
                <w:sz w:val="16"/>
              </w:rPr>
              <w:t>Denied.</w:t>
            </w:r>
          </w:p>
        </w:tc>
      </w:tr>
      <w:tr>
        <w:trPr>
          <w:cantSplit/>
        </w:trPr>
        <w:tc>
          <w:tcPr>
            <w:tcW w:type="dxa" w:w="3528"/>
            <w:vAlign w:val="top"/>
          </w:tcPr>
          <w:p>
            <w:pPr>
              <w:spacing w:after="20"/>
            </w:pPr>
            <w:r>
              <w:rPr>
                <w:sz w:val="16"/>
              </w:rPr>
              <w:t>Approval request unanswered</w:t>
            </w:r>
            <w:r>
              <w:rPr>
                <w:i/>
                <w:color w:val="7F7F7F"/>
                <w:sz w:val="14"/>
              </w:rPr>
              <w:t xml:space="preserve"> [new v1.1]</w:t>
            </w:r>
          </w:p>
        </w:tc>
        <w:tc>
          <w:tcPr>
            <w:tcW w:type="dxa" w:w="6552"/>
            <w:vAlign w:val="top"/>
          </w:tcPr>
          <w:p>
            <w:pPr>
              <w:spacing w:after="20"/>
            </w:pPr>
            <w:r>
              <w:rPr>
                <w:sz w:val="16"/>
              </w:rPr>
              <w:t>Expires as denied; task ends or replans in a declared state.</w:t>
            </w:r>
          </w:p>
        </w:tc>
      </w:tr>
      <w:tr>
        <w:trPr>
          <w:cantSplit/>
        </w:trPr>
        <w:tc>
          <w:tcPr>
            <w:tcW w:type="dxa" w:w="3528"/>
            <w:vAlign w:val="top"/>
          </w:tcPr>
          <w:p>
            <w:pPr>
              <w:spacing w:after="20"/>
            </w:pPr>
            <w:r>
              <w:rPr>
                <w:sz w:val="16"/>
              </w:rPr>
              <w:t>Approval granted, then agent changes arguments</w:t>
            </w:r>
            <w:r>
              <w:rPr>
                <w:i/>
                <w:color w:val="7F7F7F"/>
                <w:sz w:val="14"/>
              </w:rPr>
              <w:t xml:space="preserve"> [new v1.1]</w:t>
            </w:r>
          </w:p>
        </w:tc>
        <w:tc>
          <w:tcPr>
            <w:tcW w:type="dxa" w:w="6552"/>
            <w:vAlign w:val="top"/>
          </w:tcPr>
          <w:p>
            <w:pPr>
              <w:spacing w:after="20"/>
            </w:pPr>
            <w:r>
              <w:rPr>
                <w:sz w:val="16"/>
              </w:rPr>
              <w:t>New approval required.</w:t>
            </w:r>
          </w:p>
        </w:tc>
      </w:tr>
      <w:tr>
        <w:trPr>
          <w:cantSplit/>
        </w:trPr>
        <w:tc>
          <w:tcPr>
            <w:tcW w:type="dxa" w:w="3528"/>
            <w:vAlign w:val="top"/>
          </w:tcPr>
          <w:p>
            <w:pPr>
              <w:spacing w:after="20"/>
            </w:pPr>
            <w:r>
              <w:rPr>
                <w:sz w:val="16"/>
              </w:rPr>
              <w:t>MCP tool definition changes after approval</w:t>
            </w:r>
            <w:r>
              <w:rPr>
                <w:i/>
                <w:color w:val="7F7F7F"/>
                <w:sz w:val="14"/>
              </w:rPr>
              <w:t xml:space="preserve"> [new v1.1]</w:t>
            </w:r>
          </w:p>
        </w:tc>
        <w:tc>
          <w:tcPr>
            <w:tcW w:type="dxa" w:w="6552"/>
            <w:vAlign w:val="top"/>
          </w:tcPr>
          <w:p>
            <w:pPr>
              <w:spacing w:after="20"/>
            </w:pPr>
            <w:r>
              <w:rPr>
                <w:sz w:val="16"/>
              </w:rPr>
              <w:t>Tool disabled until re-approved.</w:t>
            </w:r>
          </w:p>
        </w:tc>
      </w:tr>
      <w:tr>
        <w:trPr>
          <w:cantSplit/>
        </w:trPr>
        <w:tc>
          <w:tcPr>
            <w:tcW w:type="dxa" w:w="3528"/>
            <w:vAlign w:val="top"/>
          </w:tcPr>
          <w:p>
            <w:pPr>
              <w:spacing w:after="20"/>
            </w:pPr>
            <w:r>
              <w:rPr>
                <w:sz w:val="16"/>
              </w:rPr>
              <w:t>Non-idempotent action outcome unknown after crash</w:t>
            </w:r>
            <w:r>
              <w:rPr>
                <w:i/>
                <w:color w:val="7F7F7F"/>
                <w:sz w:val="14"/>
              </w:rPr>
              <w:t xml:space="preserve"> [new v1.1]</w:t>
            </w:r>
          </w:p>
        </w:tc>
        <w:tc>
          <w:tcPr>
            <w:tcW w:type="dxa" w:w="6552"/>
            <w:vAlign w:val="top"/>
          </w:tcPr>
          <w:p>
            <w:pPr>
              <w:spacing w:after="20"/>
            </w:pPr>
            <w:r>
              <w:rPr>
                <w:sz w:val="16"/>
              </w:rPr>
              <w:t>outcome_unknown; no automatic retry; user resolves.</w:t>
            </w:r>
          </w:p>
        </w:tc>
      </w:tr>
      <w:tr>
        <w:trPr>
          <w:cantSplit/>
        </w:trPr>
        <w:tc>
          <w:tcPr>
            <w:tcW w:type="dxa" w:w="3528"/>
            <w:vAlign w:val="top"/>
          </w:tcPr>
          <w:p>
            <w:pPr>
              <w:spacing w:after="20"/>
            </w:pPr>
            <w:r>
              <w:rPr>
                <w:sz w:val="16"/>
              </w:rPr>
              <w:t>Web page attempts to call the local Client Gateway</w:t>
            </w:r>
            <w:r>
              <w:rPr>
                <w:i/>
                <w:color w:val="7F7F7F"/>
                <w:sz w:val="14"/>
              </w:rPr>
              <w:t xml:space="preserve"> [new v1.1]</w:t>
            </w:r>
          </w:p>
        </w:tc>
        <w:tc>
          <w:tcPr>
            <w:tcW w:type="dxa" w:w="6552"/>
            <w:vAlign w:val="top"/>
          </w:tcPr>
          <w:p>
            <w:pPr>
              <w:spacing w:after="20"/>
            </w:pPr>
            <w:r>
              <w:rPr>
                <w:sz w:val="16"/>
              </w:rPr>
              <w:t>Rejected (Origin/credential check).</w:t>
            </w:r>
          </w:p>
        </w:tc>
      </w:tr>
      <w:tr>
        <w:trPr>
          <w:cantSplit/>
        </w:trPr>
        <w:tc>
          <w:tcPr>
            <w:tcW w:type="dxa" w:w="3528"/>
            <w:vAlign w:val="top"/>
          </w:tcPr>
          <w:p>
            <w:pPr>
              <w:spacing w:after="20"/>
            </w:pPr>
            <w:r>
              <w:rPr>
                <w:sz w:val="16"/>
              </w:rPr>
              <w:t>Agent attempts to modify Core code, policy, or its own grants</w:t>
            </w:r>
            <w:r>
              <w:rPr>
                <w:i/>
                <w:color w:val="7F7F7F"/>
                <w:sz w:val="14"/>
              </w:rPr>
              <w:t xml:space="preserve"> [new v1.1]</w:t>
            </w:r>
          </w:p>
        </w:tc>
        <w:tc>
          <w:tcPr>
            <w:tcW w:type="dxa" w:w="6552"/>
            <w:vAlign w:val="top"/>
          </w:tcPr>
          <w:p>
            <w:pPr>
              <w:spacing w:after="20"/>
            </w:pPr>
            <w:r>
              <w:rPr>
                <w:sz w:val="16"/>
              </w:rPr>
              <w:t>Denied; change can only be proposed for human review.</w:t>
            </w:r>
          </w:p>
        </w:tc>
      </w:tr>
      <w:tr>
        <w:trPr>
          <w:cantSplit/>
        </w:trPr>
        <w:tc>
          <w:tcPr>
            <w:tcW w:type="dxa" w:w="3528"/>
            <w:vAlign w:val="top"/>
          </w:tcPr>
          <w:p>
            <w:pPr>
              <w:spacing w:after="20"/>
            </w:pPr>
            <w:r>
              <w:rPr>
                <w:sz w:val="16"/>
              </w:rPr>
              <w:t>Injected content attempts to write a memory</w:t>
            </w:r>
            <w:r>
              <w:rPr>
                <w:i/>
                <w:color w:val="7F7F7F"/>
                <w:sz w:val="14"/>
              </w:rPr>
              <w:t xml:space="preserve"> [new v1.1]</w:t>
            </w:r>
          </w:p>
        </w:tc>
        <w:tc>
          <w:tcPr>
            <w:tcW w:type="dxa" w:w="6552"/>
            <w:vAlign w:val="top"/>
          </w:tcPr>
          <w:p>
            <w:pPr>
              <w:spacing w:after="20"/>
            </w:pPr>
            <w:r>
              <w:rPr>
                <w:sz w:val="16"/>
              </w:rPr>
              <w:t>Stored as untrusted (if permitted at all); never supplied to models as trusted instruction.</w:t>
            </w:r>
          </w:p>
        </w:tc>
      </w:tr>
      <w:tr>
        <w:trPr>
          <w:cantSplit/>
        </w:trPr>
        <w:tc>
          <w:tcPr>
            <w:tcW w:type="dxa" w:w="3528"/>
            <w:vAlign w:val="top"/>
          </w:tcPr>
          <w:p>
            <w:pPr>
              <w:spacing w:after="20"/>
            </w:pPr>
            <w:r>
              <w:rPr>
                <w:sz w:val="16"/>
              </w:rPr>
              <w:t>Backup restored</w:t>
            </w:r>
            <w:r>
              <w:rPr>
                <w:i/>
                <w:color w:val="7F7F7F"/>
                <w:sz w:val="14"/>
              </w:rPr>
              <w:t xml:space="preserve"> [new v1.1]</w:t>
            </w:r>
          </w:p>
        </w:tc>
        <w:tc>
          <w:tcPr>
            <w:tcW w:type="dxa" w:w="6552"/>
            <w:vAlign w:val="top"/>
          </w:tcPr>
          <w:p>
            <w:pPr>
              <w:spacing w:after="20"/>
            </w:pPr>
            <w:r>
              <w:rPr>
                <w:sz w:val="16"/>
              </w:rPr>
              <w:t>Restored delegations and approvals are expired; no live authority restored.</w:t>
            </w:r>
          </w:p>
        </w:tc>
      </w:tr>
    </w:tbl>
    <w:p/>
    <w:p>
      <w:r>
        <w:rPr>
          <w:b/>
          <w:color w:val="C00000"/>
        </w:rPr>
        <w:t xml:space="preserve">TEST-001 — MUST: </w:t>
      </w:r>
      <w:r>
        <w:t>Automate provider/capability/security contract tests before Foundation v1 is considered stable.</w:t>
      </w:r>
    </w:p>
    <w:p>
      <w:r>
        <w:rPr>
          <w:b/>
          <w:color w:val="C00000"/>
        </w:rPr>
        <w:t xml:space="preserve">TEST-002 — MUST: </w:t>
      </w:r>
      <w:r>
        <w:t>Include permission revocation during active tasks, corrupted task state, node disconnect, GPU loss, and extension misbehavior in failure testing.</w:t>
      </w:r>
    </w:p>
    <w:p>
      <w:r>
        <w:rPr>
          <w:b/>
          <w:color w:val="BF9000"/>
        </w:rPr>
        <w:t xml:space="preserve">TEST-003 — SHOULD: </w:t>
      </w:r>
      <w:r>
        <w:t>Maintain benchmark/regression suites that allow provider/model upgrades to be compared and rolled back.</w:t>
      </w:r>
    </w:p>
    <w:p>
      <w:r>
        <w:rPr>
          <w:b/>
          <w:color w:val="C00000"/>
        </w:rPr>
        <w:t xml:space="preserve">TEST-004 — MUST: </w:t>
      </w:r>
      <w:r>
        <w:t>Every row of the failure table above has an automated test, except rows marked post-v1.</w:t>
      </w:r>
      <w:r>
        <w:rPr>
          <w:i/>
          <w:color w:val="7F7F7F"/>
          <w:sz w:val="16"/>
        </w:rPr>
        <w:t xml:space="preserve"> [new v1.1]</w:t>
      </w:r>
    </w:p>
    <w:p>
      <w:r>
        <w:rPr>
          <w:b/>
          <w:color w:val="C00000"/>
        </w:rPr>
        <w:t xml:space="preserve">TEST-005 — MUST: </w:t>
      </w:r>
      <w:r>
        <w:t>Maintain a prompt-injection test corpus (documents, web pages, tool outputs, memories) run against the reference runtime on every release; pass criteria are the authorization outcomes in §6.3, not model behavior.</w:t>
      </w:r>
      <w:r>
        <w:rPr>
          <w:i/>
          <w:color w:val="7F7F7F"/>
          <w:sz w:val="16"/>
        </w:rPr>
        <w:t xml:space="preserve"> [new v1.1]</w:t>
      </w:r>
    </w:p>
    <w:p>
      <w:pPr>
        <w:pStyle w:val="Heading1"/>
      </w:pPr>
      <w:r>
        <w:t>20. Foundation v1 Implementation Boundary</w:t>
      </w:r>
    </w:p>
    <w:p>
      <w:r>
        <w:t>Foundation v1 should implement the minimum coherent control plane on the current workstation while preserving future contracts.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7"/>
              </w:rPr>
              <w:t>Implement now</w:t>
            </w:r>
          </w:p>
        </w:tc>
        <w:tc>
          <w:tcPr>
            <w:tcW w:type="dxa" w:w="5040"/>
            <w:shd w:fill="D9EAF7"/>
            <w:vAlign w:val="center"/>
          </w:tcPr>
          <w:p>
            <w:r>
              <w:rPr>
                <w:b/>
                <w:sz w:val="17"/>
              </w:rPr>
              <w:t>Define contract now / integrate later</w:t>
            </w:r>
          </w:p>
        </w:tc>
      </w:tr>
      <w:tr>
        <w:trPr>
          <w:cantSplit/>
        </w:trPr>
        <w:tc>
          <w:tcPr>
            <w:tcW w:type="dxa" w:w="5040"/>
            <w:vAlign w:val="top"/>
          </w:tcPr>
          <w:p>
            <w:pPr>
              <w:spacing w:after="20"/>
            </w:pPr>
            <w:r>
              <w:rPr>
                <w:sz w:val="16"/>
              </w:rPr>
              <w:t>ProviderRegistry + ProviderDefinition/health/lifecycle</w:t>
            </w:r>
          </w:p>
        </w:tc>
        <w:tc>
          <w:tcPr>
            <w:tcW w:type="dxa" w:w="5040"/>
            <w:vAlign w:val="top"/>
          </w:tcPr>
          <w:p>
            <w:pPr>
              <w:spacing w:after="20"/>
            </w:pPr>
            <w:r>
              <w:rPr>
                <w:sz w:val="16"/>
              </w:rPr>
              <w:t>SPIFFE/SPIRE workload identity</w:t>
            </w:r>
          </w:p>
        </w:tc>
      </w:tr>
      <w:tr>
        <w:trPr>
          <w:cantSplit/>
        </w:trPr>
        <w:tc>
          <w:tcPr>
            <w:tcW w:type="dxa" w:w="5040"/>
            <w:vAlign w:val="top"/>
          </w:tcPr>
          <w:p>
            <w:pPr>
              <w:spacing w:after="20"/>
            </w:pPr>
            <w:r>
              <w:rPr>
                <w:sz w:val="16"/>
              </w:rPr>
              <w:t>CapabilityRegistry + CapabilityBroker (invoke-time authorization, risk/egress/idempotency metadata)</w:t>
            </w:r>
          </w:p>
        </w:tc>
        <w:tc>
          <w:tcPr>
            <w:tcW w:type="dxa" w:w="5040"/>
            <w:vAlign w:val="top"/>
          </w:tcPr>
          <w:p>
            <w:pPr>
              <w:spacing w:after="20"/>
            </w:pPr>
            <w:r>
              <w:rPr>
                <w:sz w:val="16"/>
              </w:rPr>
              <w:t>OPA PolicyEngineProvider</w:t>
            </w:r>
          </w:p>
        </w:tc>
      </w:tr>
      <w:tr>
        <w:trPr>
          <w:cantSplit/>
        </w:trPr>
        <w:tc>
          <w:tcPr>
            <w:tcW w:type="dxa" w:w="5040"/>
            <w:vAlign w:val="top"/>
          </w:tcPr>
          <w:p>
            <w:pPr>
              <w:spacing w:after="20"/>
            </w:pPr>
            <w:r>
              <w:rPr>
                <w:sz w:val="16"/>
              </w:rPr>
              <w:t>In-process policy evaluation from a declarative policy table</w:t>
            </w:r>
            <w:r>
              <w:rPr>
                <w:i/>
                <w:color w:val="7F7F7F"/>
                <w:sz w:val="14"/>
              </w:rPr>
              <w:t xml:space="preserve"> [new v1.1]</w:t>
            </w:r>
          </w:p>
        </w:tc>
        <w:tc>
          <w:tcPr>
            <w:tcW w:type="dxa" w:w="5040"/>
            <w:vAlign w:val="top"/>
          </w:tcPr>
          <w:p>
            <w:pPr>
              <w:spacing w:after="20"/>
            </w:pPr>
            <w:r>
              <w:rPr>
                <w:sz w:val="16"/>
              </w:rPr>
              <w:t>OpenBao secrets/PKI</w:t>
            </w:r>
          </w:p>
        </w:tc>
      </w:tr>
      <w:tr>
        <w:trPr>
          <w:cantSplit/>
        </w:trPr>
        <w:tc>
          <w:tcPr>
            <w:tcW w:type="dxa" w:w="5040"/>
            <w:vAlign w:val="top"/>
          </w:tcPr>
          <w:p>
            <w:pPr>
              <w:spacing w:after="20"/>
            </w:pPr>
            <w:r>
              <w:rPr>
                <w:sz w:val="16"/>
              </w:rPr>
              <w:t>Local identity/user skeleton and authorization model</w:t>
            </w:r>
          </w:p>
        </w:tc>
        <w:tc>
          <w:tcPr>
            <w:tcW w:type="dxa" w:w="5040"/>
            <w:vAlign w:val="top"/>
          </w:tcPr>
          <w:p>
            <w:pPr>
              <w:spacing w:after="20"/>
            </w:pPr>
            <w:r>
              <w:rPr>
                <w:sz w:val="16"/>
              </w:rPr>
              <w:t>NATS distributed messaging</w:t>
            </w:r>
          </w:p>
        </w:tc>
      </w:tr>
      <w:tr>
        <w:trPr>
          <w:cantSplit/>
        </w:trPr>
        <w:tc>
          <w:tcPr>
            <w:tcW w:type="dxa" w:w="5040"/>
            <w:vAlign w:val="top"/>
          </w:tcPr>
          <w:p>
            <w:pPr>
              <w:spacing w:after="20"/>
            </w:pPr>
            <w:r>
              <w:rPr>
                <w:sz w:val="16"/>
              </w:rPr>
              <w:t>Delegation store and approval service (§6.5, §6.6)</w:t>
            </w:r>
            <w:r>
              <w:rPr>
                <w:i/>
                <w:color w:val="7F7F7F"/>
                <w:sz w:val="14"/>
              </w:rPr>
              <w:t xml:space="preserve"> [new v1.1]</w:t>
            </w:r>
          </w:p>
        </w:tc>
        <w:tc>
          <w:tcPr>
            <w:tcW w:type="dxa" w:w="5040"/>
            <w:vAlign w:val="top"/>
          </w:tcPr>
          <w:p>
            <w:pPr>
              <w:spacing w:after="20"/>
            </w:pPr>
            <w:r>
              <w:rPr>
                <w:sz w:val="16"/>
              </w:rPr>
              <w:t>Temporal durable workflows</w:t>
            </w:r>
          </w:p>
        </w:tc>
      </w:tr>
      <w:tr>
        <w:trPr>
          <w:cantSplit/>
        </w:trPr>
        <w:tc>
          <w:tcPr>
            <w:tcW w:type="dxa" w:w="5040"/>
            <w:vAlign w:val="top"/>
          </w:tcPr>
          <w:p>
            <w:pPr>
              <w:spacing w:after="20"/>
            </w:pPr>
            <w:r>
              <w:rPr>
                <w:sz w:val="16"/>
              </w:rPr>
              <w:t>Audit event model with hash-chained audit table</w:t>
            </w:r>
          </w:p>
        </w:tc>
        <w:tc>
          <w:tcPr>
            <w:tcW w:type="dxa" w:w="5040"/>
            <w:vAlign w:val="top"/>
          </w:tcPr>
          <w:p>
            <w:pPr>
              <w:spacing w:after="20"/>
            </w:pPr>
            <w:r>
              <w:rPr>
                <w:sz w:val="16"/>
              </w:rPr>
              <w:t>Ray/Maze/Dynamo distributed execution/inference</w:t>
            </w:r>
          </w:p>
        </w:tc>
      </w:tr>
      <w:tr>
        <w:trPr>
          <w:cantSplit/>
        </w:trPr>
        <w:tc>
          <w:tcPr>
            <w:tcW w:type="dxa" w:w="5040"/>
            <w:vAlign w:val="top"/>
          </w:tcPr>
          <w:p>
            <w:pPr>
              <w:spacing w:after="20"/>
            </w:pPr>
            <w:r>
              <w:rPr>
                <w:sz w:val="16"/>
              </w:rPr>
              <w:t>Freya reference agent runtime (§11.1)</w:t>
            </w:r>
            <w:r>
              <w:rPr>
                <w:i/>
                <w:color w:val="7F7F7F"/>
                <w:sz w:val="14"/>
              </w:rPr>
              <w:t xml:space="preserve"> [new v1.1]</w:t>
            </w:r>
          </w:p>
        </w:tc>
        <w:tc>
          <w:tcPr>
            <w:tcW w:type="dxa" w:w="5040"/>
            <w:vAlign w:val="top"/>
          </w:tcPr>
          <w:p>
            <w:pPr>
              <w:spacing w:after="20"/>
            </w:pPr>
            <w:r>
              <w:rPr>
                <w:sz w:val="16"/>
              </w:rPr>
              <w:t>Hermes / Agent Zero AgentRuntimeProvider adapters</w:t>
            </w:r>
            <w:r>
              <w:rPr>
                <w:i/>
                <w:color w:val="7F7F7F"/>
                <w:sz w:val="14"/>
              </w:rPr>
              <w:t xml:space="preserve"> [new v1.1]</w:t>
            </w:r>
          </w:p>
        </w:tc>
      </w:tr>
      <w:tr>
        <w:trPr>
          <w:cantSplit/>
        </w:trPr>
        <w:tc>
          <w:tcPr>
            <w:tcW w:type="dxa" w:w="5040"/>
            <w:vAlign w:val="top"/>
          </w:tcPr>
          <w:p>
            <w:pPr>
              <w:spacing w:after="20"/>
            </w:pPr>
            <w:r>
              <w:rPr>
                <w:sz w:val="16"/>
              </w:rPr>
              <w:t>LocalExecutionProvider (Tier 0, trusted code only)</w:t>
            </w:r>
            <w:r>
              <w:rPr>
                <w:i/>
                <w:color w:val="7F7F7F"/>
                <w:sz w:val="14"/>
              </w:rPr>
              <w:t xml:space="preserve"> [changed v1.1]</w:t>
            </w:r>
          </w:p>
        </w:tc>
        <w:tc>
          <w:tcPr>
            <w:tcW w:type="dxa" w:w="5040"/>
            <w:vAlign w:val="top"/>
          </w:tcPr>
          <w:p>
            <w:pPr>
              <w:spacing w:after="20"/>
            </w:pPr>
            <w:r>
              <w:rPr>
                <w:sz w:val="16"/>
              </w:rPr>
              <w:t>K3s Linux rack</w:t>
            </w:r>
          </w:p>
        </w:tc>
      </w:tr>
      <w:tr>
        <w:trPr>
          <w:cantSplit/>
        </w:trPr>
        <w:tc>
          <w:tcPr>
            <w:tcW w:type="dxa" w:w="5040"/>
            <w:vAlign w:val="top"/>
          </w:tcPr>
          <w:p>
            <w:pPr>
              <w:spacing w:after="20"/>
            </w:pPr>
            <w:r>
              <w:rPr>
                <w:sz w:val="16"/>
              </w:rPr>
              <w:t>SandboxExecutionProvider (Tier 1, dedicated WSL2 distribution)</w:t>
            </w:r>
            <w:r>
              <w:rPr>
                <w:i/>
                <w:color w:val="7F7F7F"/>
                <w:sz w:val="14"/>
              </w:rPr>
              <w:t xml:space="preserve"> [new v1.1]</w:t>
            </w:r>
          </w:p>
        </w:tc>
        <w:tc>
          <w:tcPr>
            <w:tcW w:type="dxa" w:w="5040"/>
            <w:vAlign w:val="top"/>
          </w:tcPr>
          <w:p>
            <w:pPr>
              <w:spacing w:after="20"/>
            </w:pPr>
            <w:r>
              <w:rPr>
                <w:sz w:val="16"/>
              </w:rPr>
              <w:t>Tier 2 VM isolation; gVisor/Kata on Linux nodes</w:t>
            </w:r>
            <w:r>
              <w:rPr>
                <w:i/>
                <w:color w:val="7F7F7F"/>
                <w:sz w:val="14"/>
              </w:rPr>
              <w:t xml:space="preserve"> [changed v1.1]</w:t>
            </w:r>
          </w:p>
        </w:tc>
      </w:tr>
      <w:tr>
        <w:trPr>
          <w:cantSplit/>
        </w:trPr>
        <w:tc>
          <w:tcPr>
            <w:tcW w:type="dxa" w:w="5040"/>
            <w:vAlign w:val="top"/>
          </w:tcPr>
          <w:p>
            <w:pPr>
              <w:spacing w:after="20"/>
            </w:pPr>
            <w:r>
              <w:rPr>
                <w:sz w:val="16"/>
              </w:rPr>
              <w:t>Ollama ModelRuntimeProvider</w:t>
            </w:r>
          </w:p>
        </w:tc>
        <w:tc>
          <w:tcPr>
            <w:tcW w:type="dxa" w:w="5040"/>
            <w:vAlign w:val="top"/>
          </w:tcPr>
          <w:p>
            <w:pPr>
              <w:spacing w:after="20"/>
            </w:pPr>
            <w:r>
              <w:rPr>
                <w:sz w:val="16"/>
              </w:rPr>
              <w:t>MLflow registry overlay</w:t>
            </w:r>
          </w:p>
        </w:tc>
      </w:tr>
      <w:tr>
        <w:trPr>
          <w:cantSplit/>
        </w:trPr>
        <w:tc>
          <w:tcPr>
            <w:tcW w:type="dxa" w:w="5040"/>
            <w:vAlign w:val="top"/>
          </w:tcPr>
          <w:p>
            <w:pPr>
              <w:spacing w:after="20"/>
            </w:pPr>
            <w:r>
              <w:rPr>
                <w:sz w:val="16"/>
              </w:rPr>
              <w:t>Basic Resource Manager + RTX 4090/VRAM observations via NVML</w:t>
            </w:r>
          </w:p>
        </w:tc>
        <w:tc>
          <w:tcPr>
            <w:tcW w:type="dxa" w:w="5040"/>
            <w:vAlign w:val="top"/>
          </w:tcPr>
          <w:p>
            <w:pPr>
              <w:spacing w:after="20"/>
            </w:pPr>
            <w:r>
              <w:rPr>
                <w:sz w:val="16"/>
              </w:rPr>
              <w:t>Qdrant/Docling/GraphRAG</w:t>
            </w:r>
          </w:p>
        </w:tc>
      </w:tr>
      <w:tr>
        <w:trPr>
          <w:cantSplit/>
        </w:trPr>
        <w:tc>
          <w:tcPr>
            <w:tcW w:type="dxa" w:w="5040"/>
            <w:vAlign w:val="top"/>
          </w:tcPr>
          <w:p>
            <w:pPr>
              <w:spacing w:after="20"/>
            </w:pPr>
            <w:r>
              <w:rPr>
                <w:sz w:val="16"/>
              </w:rPr>
              <w:t>Model catalog metadata (including license) sufficient for local models</w:t>
            </w:r>
          </w:p>
        </w:tc>
        <w:tc>
          <w:tcPr>
            <w:tcW w:type="dxa" w:w="5040"/>
            <w:vAlign w:val="top"/>
          </w:tcPr>
          <w:p>
            <w:pPr>
              <w:spacing w:after="20"/>
            </w:pPr>
            <w:r>
              <w:rPr>
                <w:sz w:val="16"/>
              </w:rPr>
              <w:t>Desktop/web/mobile/custom GUI SDK implementations</w:t>
            </w:r>
          </w:p>
        </w:tc>
      </w:tr>
      <w:tr>
        <w:trPr>
          <w:cantSplit/>
        </w:trPr>
        <w:tc>
          <w:tcPr>
            <w:tcW w:type="dxa" w:w="5040"/>
            <w:vAlign w:val="top"/>
          </w:tcPr>
          <w:p>
            <w:pPr>
              <w:spacing w:after="20"/>
            </w:pPr>
            <w:r>
              <w:rPr>
                <w:sz w:val="16"/>
              </w:rPr>
              <w:t>Session + initial memory service on SQLite, with provenance and trust labels</w:t>
            </w:r>
          </w:p>
        </w:tc>
        <w:tc>
          <w:tcPr>
            <w:tcW w:type="dxa" w:w="5040"/>
            <w:vAlign w:val="top"/>
          </w:tcPr>
          <w:p>
            <w:pPr>
              <w:spacing w:after="20"/>
            </w:pPr>
            <w:r>
              <w:rPr>
                <w:sz w:val="16"/>
              </w:rPr>
              <w:t>ComfyUI/Home Assistant/Jellyfin/CAD/fabrication providers</w:t>
            </w:r>
          </w:p>
        </w:tc>
      </w:tr>
      <w:tr>
        <w:trPr>
          <w:cantSplit/>
        </w:trPr>
        <w:tc>
          <w:tcPr>
            <w:tcW w:type="dxa" w:w="5040"/>
            <w:vAlign w:val="top"/>
          </w:tcPr>
          <w:p>
            <w:pPr>
              <w:spacing w:after="20"/>
            </w:pPr>
            <w:r>
              <w:rPr>
                <w:sz w:val="16"/>
              </w:rPr>
              <w:t>Context Authority skeleton with trust labeling</w:t>
            </w:r>
          </w:p>
        </w:tc>
        <w:tc>
          <w:tcPr>
            <w:tcW w:type="dxa" w:w="5040"/>
            <w:vAlign w:val="top"/>
          </w:tcPr>
          <w:p>
            <w:pPr>
              <w:spacing w:after="20"/>
            </w:pPr>
            <w:r>
              <w:rPr>
                <w:sz w:val="16"/>
              </w:rPr>
              <w:t>Federation (Appendix A)</w:t>
            </w:r>
            <w:r>
              <w:rPr>
                <w:i/>
                <w:color w:val="7F7F7F"/>
                <w:sz w:val="14"/>
              </w:rPr>
              <w:t xml:space="preserve"> [new v1.1]</w:t>
            </w:r>
          </w:p>
        </w:tc>
      </w:tr>
      <w:tr>
        <w:trPr>
          <w:cantSplit/>
        </w:trPr>
        <w:tc>
          <w:tcPr>
            <w:tcW w:type="dxa" w:w="5040"/>
            <w:vAlign w:val="top"/>
          </w:tcPr>
          <w:p>
            <w:pPr>
              <w:spacing w:after="20"/>
            </w:pPr>
            <w:r>
              <w:rPr>
                <w:sz w:val="16"/>
              </w:rPr>
              <w:t>Client Gateway contract (loopback HTTP + WebSocket) + CLI client adapter</w:t>
            </w:r>
          </w:p>
        </w:tc>
        <w:tc>
          <w:tcPr>
            <w:tcW w:type="dxa" w:w="5040"/>
            <w:vAlign w:val="top"/>
          </w:tcPr>
          <w:p>
            <w:pPr>
              <w:spacing w:after="20"/>
            </w:pPr>
            <w:r>
              <w:rPr>
                <w:sz w:val="16"/>
              </w:rPr>
              <w:t>Cryptographic delegation tokens (e.g., Biscuit)</w:t>
            </w:r>
            <w:r>
              <w:rPr>
                <w:i/>
                <w:color w:val="7F7F7F"/>
                <w:sz w:val="14"/>
              </w:rPr>
              <w:t xml:space="preserve"> [new v1.1]</w:t>
            </w:r>
          </w:p>
        </w:tc>
      </w:tr>
      <w:tr>
        <w:trPr>
          <w:cantSplit/>
        </w:trPr>
        <w:tc>
          <w:tcPr>
            <w:tcW w:type="dxa" w:w="5040"/>
            <w:vAlign w:val="top"/>
          </w:tcPr>
          <w:p>
            <w:pPr>
              <w:spacing w:after="20"/>
            </w:pPr>
            <w:r>
              <w:rPr>
                <w:sz w:val="16"/>
              </w:rPr>
              <w:t>Test harness, failure-injection suite, prompt-injection corpus, and ADR process</w:t>
            </w:r>
          </w:p>
        </w:tc>
        <w:tc>
          <w:tcPr>
            <w:tcW w:type="dxa" w:w="5040"/>
            <w:vAlign w:val="top"/>
          </w:tcPr>
          <w:p>
            <w:pPr>
              <w:spacing w:after="20"/>
            </w:pPr>
            <w:r>
              <w:rPr>
                <w:sz w:val="16"/>
              </w:rPr>
              <w:t>Remote client access with TLS and device pairing</w:t>
            </w:r>
            <w:r>
              <w:rPr>
                <w:i/>
                <w:color w:val="7F7F7F"/>
                <w:sz w:val="14"/>
              </w:rPr>
              <w:t xml:space="preserve"> [new v1.1]</w:t>
            </w:r>
          </w:p>
        </w:tc>
      </w:tr>
    </w:tbl>
    <w:p/>
    <w:p>
      <w:r>
        <w:rPr>
          <w:b/>
          <w:color w:val="C00000"/>
        </w:rPr>
        <w:t xml:space="preserve">V1-001 — MUST: </w:t>
      </w:r>
      <w:r>
        <w:t>Do not require a Linux rack, Kubernetes, distributed message bus, or enterprise secrets platform to run the first coherent local alpha.</w:t>
      </w:r>
    </w:p>
    <w:p>
      <w:r>
        <w:rPr>
          <w:b/>
          <w:color w:val="C00000"/>
        </w:rPr>
        <w:t xml:space="preserve">V1-002 — MUST: </w:t>
      </w:r>
      <w:r>
        <w:t>Before freeze, every Foundation v1 contract (provider, capability, model runtime, agent runtime, isolation, policy, client gateway) is exercised by at least two implementations, one of which may be a test double; the §25 second-provider and second-client gates are the acceptance criteria.</w:t>
      </w:r>
      <w:r>
        <w:rPr>
          <w:i/>
          <w:color w:val="7F7F7F"/>
          <w:sz w:val="16"/>
        </w:rPr>
        <w:t xml:space="preserve"> [changed v1.1]</w:t>
      </w:r>
    </w:p>
    <w:p>
      <w:r>
        <w:rPr>
          <w:b/>
          <w:color w:val="BF9000"/>
        </w:rPr>
        <w:t xml:space="preserve">V1-003 — SHOULD: </w:t>
      </w:r>
      <w:r>
        <w:t>Use the existing C:\Dev\Freya repository and evolve current ProviderRegistry work rather than discarding working foundations without cause.</w:t>
      </w:r>
    </w:p>
    <w:p>
      <w:r>
        <w:rPr>
          <w:b/>
          <w:color w:val="C00000"/>
        </w:rPr>
        <w:t xml:space="preserve">V1-004 — MUST: </w:t>
      </w:r>
      <w:r>
        <w:t>SHOULD/MAY requirements that name a specific external technology are post-v1 unless that technology appears in the "Implement now" column above.</w:t>
      </w:r>
      <w:r>
        <w:rPr>
          <w:i/>
          <w:color w:val="7F7F7F"/>
          <w:sz w:val="16"/>
        </w:rPr>
        <w:t xml:space="preserve"> [new v1.1]</w:t>
      </w:r>
    </w:p>
    <w:p>
      <w:pPr>
        <w:pStyle w:val="Heading2"/>
      </w:pPr>
      <w:r>
        <w:t>20.1 Alpha build order</w:t>
      </w:r>
      <w:r>
        <w:rPr>
          <w:i/>
          <w:color w:val="7F7F7F"/>
          <w:sz w:val="16"/>
        </w:rPr>
        <w:t xml:space="preserve"> [new v1.1]</w:t>
      </w:r>
    </w:p>
    <w:p>
      <w:pPr>
        <w:pStyle w:val="ListBullet"/>
      </w:pPr>
      <w:r>
        <w:rPr>
          <w:b/>
        </w:rPr>
        <w:t>Step 1.</w:t>
      </w:r>
      <w:r>
        <w:t xml:space="preserve"> Principal model, CapabilityRegistry, CapabilityBroker with in-process policy table, hash-chained audit log, all on SQLite.</w:t>
      </w:r>
    </w:p>
    <w:p>
      <w:pPr>
        <w:pStyle w:val="ListBullet"/>
      </w:pPr>
      <w:r>
        <w:rPr>
          <w:b/>
        </w:rPr>
        <w:t>Step 2.</w:t>
      </w:r>
      <w:r>
        <w:t xml:space="preserve"> Ollama ModelRuntimeProvider and one harmless read-class capability (read files in an allowed folder).</w:t>
      </w:r>
    </w:p>
    <w:p>
      <w:pPr>
        <w:pStyle w:val="ListBullet"/>
      </w:pPr>
      <w:r>
        <w:rPr>
          <w:b/>
        </w:rPr>
        <w:t>Step 3.</w:t>
      </w:r>
      <w:r>
        <w:t xml:space="preserve"> Delegation store and the Freya reference agent runtime with budgets and CLI approval prompts.</w:t>
      </w:r>
    </w:p>
    <w:p>
      <w:pPr>
        <w:pStyle w:val="ListBullet"/>
      </w:pPr>
      <w:r>
        <w:rPr>
          <w:b/>
        </w:rPr>
        <w:t>Step 4.</w:t>
      </w:r>
      <w:r>
        <w:t xml:space="preserve"> Tier 1 sandbox in a dedicated WSL2 distribution; code_exec and write_local capabilities.</w:t>
      </w:r>
    </w:p>
    <w:p>
      <w:pPr>
        <w:pStyle w:val="ListBullet"/>
      </w:pPr>
      <w:r>
        <w:rPr>
          <w:b/>
        </w:rPr>
        <w:t>Step 5.</w:t>
      </w:r>
      <w:r>
        <w:t xml:space="preserve"> Session and memory services with provenance and trust labels; Context Authority skeleton.</w:t>
      </w:r>
    </w:p>
    <w:p>
      <w:pPr>
        <w:pStyle w:val="ListBullet"/>
      </w:pPr>
      <w:r>
        <w:rPr>
          <w:b/>
        </w:rPr>
        <w:t>Step 6.</w:t>
      </w:r>
      <w:r>
        <w:t xml:space="preserve"> Client Gateway on loopback with per-client credentials; CLI client.</w:t>
      </w:r>
    </w:p>
    <w:p>
      <w:pPr>
        <w:pStyle w:val="ListBullet"/>
      </w:pPr>
      <w:r>
        <w:rPr>
          <w:b/>
        </w:rPr>
        <w:t>Step 7.</w:t>
      </w:r>
      <w:r>
        <w:t xml:space="preserve"> Second model provider (llama.cpp or an external API behind escalation) to prove runtime replaceability.</w:t>
      </w:r>
    </w:p>
    <w:p>
      <w:pPr>
        <w:pStyle w:val="ListBullet"/>
      </w:pPr>
      <w:r>
        <w:rPr>
          <w:b/>
        </w:rPr>
        <w:t>Step 8.</w:t>
      </w:r>
      <w:r>
        <w:t xml:space="preserve"> Full failure-injection suite (§19) and prompt-injection corpus (TEST-005); then the §25 freeze gates.</w:t>
      </w:r>
    </w:p>
    <w:p>
      <w:pPr>
        <w:pStyle w:val="Heading1"/>
      </w:pPr>
      <w:r>
        <w:t>21. Suggested Repository Structure</w:t>
      </w:r>
    </w:p>
    <w:p>
      <w:pPr>
        <w:pStyle w:val="CodeBlock"/>
      </w:pPr>
      <w:r>
        <w:t>C:\Dev\Freya\</w:t>
        <w:br/>
        <w:t xml:space="preserve">  src\freya\</w:t>
        <w:br/>
        <w:t xml:space="preserve">    core\</w:t>
        <w:br/>
        <w:t xml:space="preserve">      identity\</w:t>
        <w:br/>
        <w:t xml:space="preserve">      policy\</w:t>
        <w:br/>
        <w:t xml:space="preserve">      delegation\        [new v1.1]</w:t>
        <w:br/>
        <w:t xml:space="preserve">      approvals\         [new v1.1]</w:t>
        <w:br/>
        <w:t xml:space="preserve">      audit\</w:t>
        <w:br/>
        <w:t xml:space="preserve">      domains\</w:t>
        <w:br/>
        <w:t xml:space="preserve">      federation\        (contracts only in v1)</w:t>
        <w:br/>
        <w:t xml:space="preserve">      providers\</w:t>
        <w:br/>
        <w:t xml:space="preserve">      capabilities\</w:t>
        <w:br/>
        <w:t xml:space="preserve">    kernel\</w:t>
        <w:br/>
        <w:t xml:space="preserve">      context\</w:t>
        <w:br/>
        <w:t xml:space="preserve">      resources\</w:t>
        <w:br/>
        <w:t xml:space="preserve">      scheduling\</w:t>
        <w:br/>
        <w:t xml:space="preserve">      orchestration\</w:t>
        <w:br/>
        <w:t xml:space="preserve">      sessions\</w:t>
        <w:br/>
        <w:t xml:space="preserve">      memory\</w:t>
        <w:br/>
        <w:t xml:space="preserve">      knowledge\</w:t>
        <w:br/>
        <w:t xml:space="preserve">    gateways\</w:t>
        <w:br/>
        <w:t xml:space="preserve">      client\</w:t>
        <w:br/>
        <w:t xml:space="preserve">      api\</w:t>
        <w:br/>
        <w:t xml:space="preserve">    providers\</w:t>
        <w:br/>
        <w:t xml:space="preserve">      model\</w:t>
        <w:br/>
        <w:t xml:space="preserve">      agent\</w:t>
        <w:br/>
        <w:t xml:space="preserve">        reference_runtime\   [new v1.1]</w:t>
        <w:br/>
        <w:t xml:space="preserve">      execution\</w:t>
        <w:br/>
        <w:t xml:space="preserve">        local\               (Tier 0)</w:t>
        <w:br/>
        <w:t xml:space="preserve">        wsl_sandbox\         (Tier 1) [new v1.1]</w:t>
        <w:br/>
        <w:t xml:space="preserve">      ...</w:t>
        <w:br/>
        <w:t xml:space="preserve">  tests\</w:t>
        <w:br/>
        <w:t xml:space="preserve">    core\</w:t>
        <w:br/>
        <w:t xml:space="preserve">    providers\</w:t>
        <w:br/>
        <w:t xml:space="preserve">    capabilities\</w:t>
        <w:br/>
        <w:t xml:space="preserve">    security\</w:t>
        <w:br/>
        <w:t xml:space="preserve">      prompt_injection\      [new v1.1]</w:t>
        <w:br/>
        <w:t xml:space="preserve">    failure\</w:t>
        <w:br/>
        <w:t xml:space="preserve">  docs\</w:t>
        <w:br/>
        <w:t xml:space="preserve">    architecture\</w:t>
        <w:br/>
        <w:t xml:space="preserve">    decisions\</w:t>
        <w:br/>
        <w:t xml:space="preserve">    research\</w:t>
        <w:br/>
        <w:t xml:space="preserve">      systems\</w:t>
        <w:br/>
        <w:t xml:space="preserve">      comparisons\</w:t>
        <w:br/>
        <w:t xml:space="preserve">      licenses\</w:t>
        <w:br/>
        <w:t xml:space="preserve">      security\</w:t>
        <w:br/>
        <w:t xml:space="preserve">    specs\</w:t>
        <w:br/>
        <w:t xml:space="preserve">  research\</w:t>
        <w:br/>
        <w:t xml:space="preserve">    experiments\</w:t>
        <w:br/>
        <w:t xml:space="preserve">  config\</w:t>
        <w:br/>
        <w:t xml:space="preserve">    policy\                  [new v1.1]</w:t>
        <w:br/>
        <w:t xml:space="preserve">    wsl\                     (sandbox distro wsl.conf) [new v1.1]</w:t>
      </w:r>
    </w:p>
    <w:p>
      <w:pPr>
        <w:pStyle w:val="Heading1"/>
      </w:pPr>
      <w:r>
        <w:t>22. Architecture Decision Records to Freeze</w:t>
      </w:r>
    </w:p>
    <w:tbl>
      <w:tblPr>
        <w:tblStyle w:val="TableGrid"/>
        <w:tblW w:type="auto" w:w="0"/>
        <w:jc w:val="center"/>
        <w:tblLook w:firstColumn="1" w:firstRow="1" w:lastColumn="0" w:lastRow="0" w:noHBand="0" w:noVBand="1" w:val="04A0"/>
      </w:tblPr>
      <w:tblGrid>
        <w:gridCol w:w="1344"/>
        <w:gridCol w:w="2688"/>
        <w:gridCol w:w="6048"/>
      </w:tblGrid>
      <w:tr>
        <w:trPr>
          <w:tblHeader w:val="true"/>
        </w:trPr>
        <w:tc>
          <w:tcPr>
            <w:tcW w:type="dxa" w:w="1344"/>
            <w:shd w:fill="D9EAF7"/>
            <w:vAlign w:val="center"/>
          </w:tcPr>
          <w:p>
            <w:r>
              <w:rPr>
                <w:b/>
                <w:sz w:val="17"/>
              </w:rPr>
              <w:t>ADR</w:t>
            </w:r>
          </w:p>
        </w:tc>
        <w:tc>
          <w:tcPr>
            <w:tcW w:type="dxa" w:w="2688"/>
            <w:shd w:fill="D9EAF7"/>
            <w:vAlign w:val="center"/>
          </w:tcPr>
          <w:p>
            <w:r>
              <w:rPr>
                <w:b/>
                <w:sz w:val="17"/>
              </w:rPr>
              <w:t>Decision</w:t>
            </w:r>
          </w:p>
        </w:tc>
        <w:tc>
          <w:tcPr>
            <w:tcW w:type="dxa" w:w="6048"/>
            <w:shd w:fill="D9EAF7"/>
            <w:vAlign w:val="center"/>
          </w:tcPr>
          <w:p>
            <w:r>
              <w:rPr>
                <w:b/>
                <w:sz w:val="17"/>
              </w:rPr>
              <w:t>Summary</w:t>
            </w:r>
          </w:p>
        </w:tc>
      </w:tr>
      <w:tr>
        <w:trPr>
          <w:cantSplit/>
        </w:trPr>
        <w:tc>
          <w:tcPr>
            <w:tcW w:type="dxa" w:w="1344"/>
            <w:vAlign w:val="top"/>
          </w:tcPr>
          <w:p>
            <w:pPr>
              <w:spacing w:after="20"/>
            </w:pPr>
            <w:r>
              <w:rPr>
                <w:sz w:val="16"/>
              </w:rPr>
              <w:t>ADR-001</w:t>
            </w:r>
          </w:p>
        </w:tc>
        <w:tc>
          <w:tcPr>
            <w:tcW w:type="dxa" w:w="2688"/>
            <w:vAlign w:val="top"/>
          </w:tcPr>
          <w:p>
            <w:pPr>
              <w:spacing w:after="20"/>
            </w:pPr>
            <w:r>
              <w:rPr>
                <w:sz w:val="16"/>
              </w:rPr>
              <w:t>Freya Core Boundary</w:t>
            </w:r>
          </w:p>
        </w:tc>
        <w:tc>
          <w:tcPr>
            <w:tcW w:type="dxa" w:w="6048"/>
            <w:vAlign w:val="top"/>
          </w:tcPr>
          <w:p>
            <w:pPr>
              <w:spacing w:after="20"/>
            </w:pPr>
            <w:r>
              <w:rPr>
                <w:sz w:val="16"/>
              </w:rPr>
              <w:t>Core owns governance/contracts; providers own implementations.</w:t>
            </w:r>
          </w:p>
        </w:tc>
      </w:tr>
      <w:tr>
        <w:trPr>
          <w:cantSplit/>
        </w:trPr>
        <w:tc>
          <w:tcPr>
            <w:tcW w:type="dxa" w:w="1344"/>
            <w:vAlign w:val="top"/>
          </w:tcPr>
          <w:p>
            <w:pPr>
              <w:spacing w:after="20"/>
            </w:pPr>
            <w:r>
              <w:rPr>
                <w:sz w:val="16"/>
              </w:rPr>
              <w:t>ADR-002</w:t>
            </w:r>
          </w:p>
        </w:tc>
        <w:tc>
          <w:tcPr>
            <w:tcW w:type="dxa" w:w="2688"/>
            <w:vAlign w:val="top"/>
          </w:tcPr>
          <w:p>
            <w:pPr>
              <w:spacing w:after="20"/>
            </w:pPr>
            <w:r>
              <w:rPr>
                <w:sz w:val="16"/>
              </w:rPr>
              <w:t>Capability-First Integration</w:t>
            </w:r>
          </w:p>
        </w:tc>
        <w:tc>
          <w:tcPr>
            <w:tcW w:type="dxa" w:w="6048"/>
            <w:vAlign w:val="top"/>
          </w:tcPr>
          <w:p>
            <w:pPr>
              <w:spacing w:after="20"/>
            </w:pPr>
            <w:r>
              <w:rPr>
                <w:sz w:val="16"/>
              </w:rPr>
              <w:t>No direct cross-module implementation coupling.</w:t>
            </w:r>
          </w:p>
        </w:tc>
      </w:tr>
      <w:tr>
        <w:trPr>
          <w:cantSplit/>
        </w:trPr>
        <w:tc>
          <w:tcPr>
            <w:tcW w:type="dxa" w:w="1344"/>
            <w:vAlign w:val="top"/>
          </w:tcPr>
          <w:p>
            <w:pPr>
              <w:spacing w:after="20"/>
            </w:pPr>
            <w:r>
              <w:rPr>
                <w:sz w:val="16"/>
              </w:rPr>
              <w:t>ADR-003</w:t>
            </w:r>
          </w:p>
        </w:tc>
        <w:tc>
          <w:tcPr>
            <w:tcW w:type="dxa" w:w="2688"/>
            <w:vAlign w:val="top"/>
          </w:tcPr>
          <w:p>
            <w:pPr>
              <w:spacing w:after="20"/>
            </w:pPr>
            <w:r>
              <w:rPr>
                <w:sz w:val="16"/>
              </w:rPr>
              <w:t>Provider Lifecycle and Isolation</w:t>
            </w:r>
          </w:p>
        </w:tc>
        <w:tc>
          <w:tcPr>
            <w:tcW w:type="dxa" w:w="6048"/>
            <w:vAlign w:val="top"/>
          </w:tcPr>
          <w:p>
            <w:pPr>
              <w:spacing w:after="20"/>
            </w:pPr>
            <w:r>
              <w:rPr>
                <w:sz w:val="16"/>
              </w:rPr>
              <w:t>Replaceable providers with explicit lifecycle/health/failure; third-party providers out of process.</w:t>
            </w:r>
          </w:p>
        </w:tc>
      </w:tr>
      <w:tr>
        <w:trPr>
          <w:cantSplit/>
        </w:trPr>
        <w:tc>
          <w:tcPr>
            <w:tcW w:type="dxa" w:w="1344"/>
            <w:vAlign w:val="top"/>
          </w:tcPr>
          <w:p>
            <w:pPr>
              <w:spacing w:after="20"/>
            </w:pPr>
            <w:r>
              <w:rPr>
                <w:sz w:val="16"/>
              </w:rPr>
              <w:t>ADR-004</w:t>
            </w:r>
          </w:p>
        </w:tc>
        <w:tc>
          <w:tcPr>
            <w:tcW w:type="dxa" w:w="2688"/>
            <w:vAlign w:val="top"/>
          </w:tcPr>
          <w:p>
            <w:pPr>
              <w:spacing w:after="20"/>
            </w:pPr>
            <w:r>
              <w:rPr>
                <w:sz w:val="16"/>
              </w:rPr>
              <w:t>Security Domains and Federated Sovereignty</w:t>
            </w:r>
          </w:p>
        </w:tc>
        <w:tc>
          <w:tcPr>
            <w:tcW w:type="dxa" w:w="6048"/>
            <w:vAlign w:val="top"/>
          </w:tcPr>
          <w:p>
            <w:pPr>
              <w:spacing w:after="20"/>
            </w:pPr>
            <w:r>
              <w:rPr>
                <w:sz w:val="16"/>
              </w:rPr>
              <w:t>Federation authenticates/cooperates without merging roots of authority. Implementation deferred (Appendix A).</w:t>
            </w:r>
          </w:p>
        </w:tc>
      </w:tr>
      <w:tr>
        <w:trPr>
          <w:cantSplit/>
        </w:trPr>
        <w:tc>
          <w:tcPr>
            <w:tcW w:type="dxa" w:w="1344"/>
            <w:vAlign w:val="top"/>
          </w:tcPr>
          <w:p>
            <w:pPr>
              <w:spacing w:after="20"/>
            </w:pPr>
            <w:r>
              <w:rPr>
                <w:sz w:val="16"/>
              </w:rPr>
              <w:t>ADR-005</w:t>
            </w:r>
          </w:p>
        </w:tc>
        <w:tc>
          <w:tcPr>
            <w:tcW w:type="dxa" w:w="2688"/>
            <w:vAlign w:val="top"/>
          </w:tcPr>
          <w:p>
            <w:pPr>
              <w:spacing w:after="20"/>
            </w:pPr>
            <w:r>
              <w:rPr>
                <w:sz w:val="16"/>
              </w:rPr>
              <w:t>Context Authority</w:t>
            </w:r>
          </w:p>
        </w:tc>
        <w:tc>
          <w:tcPr>
            <w:tcW w:type="dxa" w:w="6048"/>
            <w:vAlign w:val="top"/>
          </w:tcPr>
          <w:p>
            <w:pPr>
              <w:spacing w:after="20"/>
            </w:pPr>
            <w:r>
              <w:rPr>
                <w:sz w:val="16"/>
              </w:rPr>
              <w:t>Agents/models receive authorized, trust-labeled context; they do not own canonical memory.</w:t>
            </w:r>
          </w:p>
        </w:tc>
      </w:tr>
      <w:tr>
        <w:trPr>
          <w:cantSplit/>
        </w:trPr>
        <w:tc>
          <w:tcPr>
            <w:tcW w:type="dxa" w:w="1344"/>
            <w:vAlign w:val="top"/>
          </w:tcPr>
          <w:p>
            <w:pPr>
              <w:spacing w:after="20"/>
            </w:pPr>
            <w:r>
              <w:rPr>
                <w:sz w:val="16"/>
              </w:rPr>
              <w:t>ADR-006</w:t>
            </w:r>
          </w:p>
        </w:tc>
        <w:tc>
          <w:tcPr>
            <w:tcW w:type="dxa" w:w="2688"/>
            <w:vAlign w:val="top"/>
          </w:tcPr>
          <w:p>
            <w:pPr>
              <w:spacing w:after="20"/>
            </w:pPr>
            <w:r>
              <w:rPr>
                <w:sz w:val="16"/>
              </w:rPr>
              <w:t>Memory vs Knowledge vs Session</w:t>
            </w:r>
          </w:p>
        </w:tc>
        <w:tc>
          <w:tcPr>
            <w:tcW w:type="dxa" w:w="6048"/>
            <w:vAlign w:val="top"/>
          </w:tcPr>
          <w:p>
            <w:pPr>
              <w:spacing w:after="20"/>
            </w:pPr>
            <w:r>
              <w:rPr>
                <w:sz w:val="16"/>
              </w:rPr>
              <w:t>Separate semantics and storage/retrieval concerns.</w:t>
            </w:r>
          </w:p>
        </w:tc>
      </w:tr>
      <w:tr>
        <w:trPr>
          <w:cantSplit/>
        </w:trPr>
        <w:tc>
          <w:tcPr>
            <w:tcW w:type="dxa" w:w="1344"/>
            <w:vAlign w:val="top"/>
          </w:tcPr>
          <w:p>
            <w:pPr>
              <w:spacing w:after="20"/>
            </w:pPr>
            <w:r>
              <w:rPr>
                <w:sz w:val="16"/>
              </w:rPr>
              <w:t>ADR-007</w:t>
            </w:r>
          </w:p>
        </w:tc>
        <w:tc>
          <w:tcPr>
            <w:tcW w:type="dxa" w:w="2688"/>
            <w:vAlign w:val="top"/>
          </w:tcPr>
          <w:p>
            <w:pPr>
              <w:spacing w:after="20"/>
            </w:pPr>
            <w:r>
              <w:rPr>
                <w:sz w:val="16"/>
              </w:rPr>
              <w:t>Resource Intelligence and VRAM Management</w:t>
            </w:r>
          </w:p>
        </w:tc>
        <w:tc>
          <w:tcPr>
            <w:tcW w:type="dxa" w:w="6048"/>
            <w:vAlign w:val="top"/>
          </w:tcPr>
          <w:p>
            <w:pPr>
              <w:spacing w:after="20"/>
            </w:pPr>
            <w:r>
              <w:rPr>
                <w:sz w:val="16"/>
              </w:rPr>
              <w:t>Freya owns placement policy and budgets; runtimes/schedulers provide mechanisms; one residency authority per runtime.</w:t>
            </w:r>
          </w:p>
        </w:tc>
      </w:tr>
      <w:tr>
        <w:trPr>
          <w:cantSplit/>
        </w:trPr>
        <w:tc>
          <w:tcPr>
            <w:tcW w:type="dxa" w:w="1344"/>
            <w:vAlign w:val="top"/>
          </w:tcPr>
          <w:p>
            <w:pPr>
              <w:spacing w:after="20"/>
            </w:pPr>
            <w:r>
              <w:rPr>
                <w:sz w:val="16"/>
              </w:rPr>
              <w:t>ADR-008</w:t>
            </w:r>
          </w:p>
        </w:tc>
        <w:tc>
          <w:tcPr>
            <w:tcW w:type="dxa" w:w="2688"/>
            <w:vAlign w:val="top"/>
          </w:tcPr>
          <w:p>
            <w:pPr>
              <w:spacing w:after="20"/>
            </w:pPr>
            <w:r>
              <w:rPr>
                <w:sz w:val="16"/>
              </w:rPr>
              <w:t>Model Runtime Independence</w:t>
            </w:r>
          </w:p>
        </w:tc>
        <w:tc>
          <w:tcPr>
            <w:tcW w:type="dxa" w:w="6048"/>
            <w:vAlign w:val="top"/>
          </w:tcPr>
          <w:p>
            <w:pPr>
              <w:spacing w:after="20"/>
            </w:pPr>
            <w:r>
              <w:rPr>
                <w:sz w:val="16"/>
              </w:rPr>
              <w:t>Ollama first, multiple runtimes supported.</w:t>
            </w:r>
          </w:p>
        </w:tc>
      </w:tr>
      <w:tr>
        <w:trPr>
          <w:cantSplit/>
        </w:trPr>
        <w:tc>
          <w:tcPr>
            <w:tcW w:type="dxa" w:w="1344"/>
            <w:vAlign w:val="top"/>
          </w:tcPr>
          <w:p>
            <w:pPr>
              <w:spacing w:after="20"/>
            </w:pPr>
            <w:r>
              <w:rPr>
                <w:sz w:val="16"/>
              </w:rPr>
              <w:t>ADR-009</w:t>
            </w:r>
          </w:p>
        </w:tc>
        <w:tc>
          <w:tcPr>
            <w:tcW w:type="dxa" w:w="2688"/>
            <w:vAlign w:val="top"/>
          </w:tcPr>
          <w:p>
            <w:pPr>
              <w:spacing w:after="20"/>
            </w:pPr>
            <w:r>
              <w:rPr>
                <w:sz w:val="16"/>
              </w:rPr>
              <w:t>Trusted Runtime vs Untrusted Execution</w:t>
            </w:r>
          </w:p>
        </w:tc>
        <w:tc>
          <w:tcPr>
            <w:tcW w:type="dxa" w:w="6048"/>
            <w:vAlign w:val="top"/>
          </w:tcPr>
          <w:p>
            <w:pPr>
              <w:spacing w:after="20"/>
            </w:pPr>
            <w:r>
              <w:rPr>
                <w:sz w:val="16"/>
              </w:rPr>
              <w:t>Generated code never executes as a host process or in Core.</w:t>
            </w:r>
          </w:p>
        </w:tc>
      </w:tr>
      <w:tr>
        <w:trPr>
          <w:cantSplit/>
        </w:trPr>
        <w:tc>
          <w:tcPr>
            <w:tcW w:type="dxa" w:w="1344"/>
            <w:vAlign w:val="top"/>
          </w:tcPr>
          <w:p>
            <w:pPr>
              <w:spacing w:after="20"/>
            </w:pPr>
            <w:r>
              <w:rPr>
                <w:sz w:val="16"/>
              </w:rPr>
              <w:t>ADR-010</w:t>
            </w:r>
          </w:p>
        </w:tc>
        <w:tc>
          <w:tcPr>
            <w:tcW w:type="dxa" w:w="2688"/>
            <w:vAlign w:val="top"/>
          </w:tcPr>
          <w:p>
            <w:pPr>
              <w:spacing w:after="20"/>
            </w:pPr>
            <w:r>
              <w:rPr>
                <w:sz w:val="16"/>
              </w:rPr>
              <w:t>Multi-GUI Client Gateway</w:t>
            </w:r>
          </w:p>
        </w:tc>
        <w:tc>
          <w:tcPr>
            <w:tcW w:type="dxa" w:w="6048"/>
            <w:vAlign w:val="top"/>
          </w:tcPr>
          <w:p>
            <w:pPr>
              <w:spacing w:after="20"/>
            </w:pPr>
            <w:r>
              <w:rPr>
                <w:sz w:val="16"/>
              </w:rPr>
              <w:t>No canonical GUI; custom simultaneous clients supported.</w:t>
            </w:r>
          </w:p>
        </w:tc>
      </w:tr>
      <w:tr>
        <w:trPr>
          <w:cantSplit/>
        </w:trPr>
        <w:tc>
          <w:tcPr>
            <w:tcW w:type="dxa" w:w="1344"/>
            <w:vAlign w:val="top"/>
          </w:tcPr>
          <w:p>
            <w:pPr>
              <w:spacing w:after="20"/>
            </w:pPr>
            <w:r>
              <w:rPr>
                <w:sz w:val="16"/>
              </w:rPr>
              <w:t>ADR-011</w:t>
            </w:r>
          </w:p>
        </w:tc>
        <w:tc>
          <w:tcPr>
            <w:tcW w:type="dxa" w:w="2688"/>
            <w:vAlign w:val="top"/>
          </w:tcPr>
          <w:p>
            <w:pPr>
              <w:spacing w:after="20"/>
            </w:pPr>
            <w:r>
              <w:rPr>
                <w:sz w:val="16"/>
              </w:rPr>
              <w:t>Existing Infrastructure First</w:t>
            </w:r>
          </w:p>
        </w:tc>
        <w:tc>
          <w:tcPr>
            <w:tcW w:type="dxa" w:w="6048"/>
            <w:vAlign w:val="top"/>
          </w:tcPr>
          <w:p>
            <w:pPr>
              <w:spacing w:after="20"/>
            </w:pPr>
            <w:r>
              <w:rPr>
                <w:sz w:val="16"/>
              </w:rPr>
              <w:t>Integrate/adapt/borrow before custom-building infrastructure.</w:t>
            </w:r>
          </w:p>
        </w:tc>
      </w:tr>
      <w:tr>
        <w:trPr>
          <w:cantSplit/>
        </w:trPr>
        <w:tc>
          <w:tcPr>
            <w:tcW w:type="dxa" w:w="1344"/>
            <w:vAlign w:val="top"/>
          </w:tcPr>
          <w:p>
            <w:pPr>
              <w:spacing w:after="20"/>
            </w:pPr>
            <w:r>
              <w:rPr>
                <w:sz w:val="16"/>
              </w:rPr>
              <w:t>ADR-012</w:t>
            </w:r>
          </w:p>
        </w:tc>
        <w:tc>
          <w:tcPr>
            <w:tcW w:type="dxa" w:w="2688"/>
            <w:vAlign w:val="top"/>
          </w:tcPr>
          <w:p>
            <w:pPr>
              <w:spacing w:after="20"/>
            </w:pPr>
            <w:r>
              <w:rPr>
                <w:sz w:val="16"/>
              </w:rPr>
              <w:t>Durable Workflow Abstraction</w:t>
            </w:r>
          </w:p>
        </w:tc>
        <w:tc>
          <w:tcPr>
            <w:tcW w:type="dxa" w:w="6048"/>
            <w:vAlign w:val="top"/>
          </w:tcPr>
          <w:p>
            <w:pPr>
              <w:spacing w:after="20"/>
            </w:pPr>
            <w:r>
              <w:rPr>
                <w:sz w:val="16"/>
              </w:rPr>
              <w:t>Long-running tasks use a durable workflow contract; SQLite step journal in v1; Temporal leading candidate.</w:t>
            </w:r>
          </w:p>
        </w:tc>
      </w:tr>
      <w:tr>
        <w:trPr>
          <w:cantSplit/>
        </w:trPr>
        <w:tc>
          <w:tcPr>
            <w:tcW w:type="dxa" w:w="1344"/>
            <w:vAlign w:val="top"/>
          </w:tcPr>
          <w:p>
            <w:pPr>
              <w:spacing w:after="20"/>
            </w:pPr>
            <w:r>
              <w:rPr>
                <w:sz w:val="16"/>
              </w:rPr>
              <w:t>ADR-013</w:t>
            </w:r>
            <w:r>
              <w:rPr>
                <w:i/>
                <w:color w:val="7F7F7F"/>
                <w:sz w:val="14"/>
              </w:rPr>
              <w:t xml:space="preserve"> [new v1.1]</w:t>
            </w:r>
          </w:p>
        </w:tc>
        <w:tc>
          <w:tcPr>
            <w:tcW w:type="dxa" w:w="2688"/>
            <w:vAlign w:val="top"/>
          </w:tcPr>
          <w:p>
            <w:pPr>
              <w:spacing w:after="20"/>
            </w:pPr>
            <w:r>
              <w:rPr>
                <w:sz w:val="16"/>
              </w:rPr>
              <w:t>Untrusted Content and Prompt Injection</w:t>
            </w:r>
          </w:p>
        </w:tc>
        <w:tc>
          <w:tcPr>
            <w:tcW w:type="dxa" w:w="6048"/>
            <w:vAlign w:val="top"/>
          </w:tcPr>
          <w:p>
            <w:pPr>
              <w:spacing w:after="20"/>
            </w:pPr>
            <w:r>
              <w:rPr>
                <w:sz w:val="16"/>
              </w:rPr>
              <w:t>Trust labels from provenance; untrusted content never expands authority; strict approval after untrusted ingestion; egress allowlists.</w:t>
            </w:r>
          </w:p>
        </w:tc>
      </w:tr>
      <w:tr>
        <w:trPr>
          <w:cantSplit/>
        </w:trPr>
        <w:tc>
          <w:tcPr>
            <w:tcW w:type="dxa" w:w="1344"/>
            <w:vAlign w:val="top"/>
          </w:tcPr>
          <w:p>
            <w:pPr>
              <w:spacing w:after="20"/>
            </w:pPr>
            <w:r>
              <w:rPr>
                <w:sz w:val="16"/>
              </w:rPr>
              <w:t>ADR-014</w:t>
            </w:r>
            <w:r>
              <w:rPr>
                <w:i/>
                <w:color w:val="7F7F7F"/>
                <w:sz w:val="14"/>
              </w:rPr>
              <w:t xml:space="preserve"> [new v1.1]</w:t>
            </w:r>
          </w:p>
        </w:tc>
        <w:tc>
          <w:tcPr>
            <w:tcW w:type="dxa" w:w="2688"/>
            <w:vAlign w:val="top"/>
          </w:tcPr>
          <w:p>
            <w:pPr>
              <w:spacing w:after="20"/>
            </w:pPr>
            <w:r>
              <w:rPr>
                <w:sz w:val="16"/>
              </w:rPr>
              <w:t>Agent Runtime Containment and Reference Runtime</w:t>
            </w:r>
          </w:p>
        </w:tc>
        <w:tc>
          <w:tcPr>
            <w:tcW w:type="dxa" w:w="6048"/>
            <w:vAlign w:val="top"/>
          </w:tcPr>
          <w:p>
            <w:pPr>
              <w:spacing w:after="20"/>
            </w:pPr>
            <w:r>
              <w:rPr>
                <w:sz w:val="16"/>
              </w:rPr>
              <w:t>All agent tools and model access brokered; first-party reference runtime in v1; third-party runtimes post-v1.</w:t>
            </w:r>
          </w:p>
        </w:tc>
      </w:tr>
      <w:tr>
        <w:trPr>
          <w:cantSplit/>
        </w:trPr>
        <w:tc>
          <w:tcPr>
            <w:tcW w:type="dxa" w:w="1344"/>
            <w:vAlign w:val="top"/>
          </w:tcPr>
          <w:p>
            <w:pPr>
              <w:spacing w:after="20"/>
            </w:pPr>
            <w:r>
              <w:rPr>
                <w:sz w:val="16"/>
              </w:rPr>
              <w:t>ADR-015</w:t>
            </w:r>
            <w:r>
              <w:rPr>
                <w:i/>
                <w:color w:val="7F7F7F"/>
                <w:sz w:val="14"/>
              </w:rPr>
              <w:t xml:space="preserve"> [new v1.1]</w:t>
            </w:r>
          </w:p>
        </w:tc>
        <w:tc>
          <w:tcPr>
            <w:tcW w:type="dxa" w:w="2688"/>
            <w:vAlign w:val="top"/>
          </w:tcPr>
          <w:p>
            <w:pPr>
              <w:spacing w:after="20"/>
            </w:pPr>
            <w:r>
              <w:rPr>
                <w:sz w:val="16"/>
              </w:rPr>
              <w:t>v1 Execution Isolation on Windows</w:t>
            </w:r>
          </w:p>
        </w:tc>
        <w:tc>
          <w:tcPr>
            <w:tcW w:type="dxa" w:w="6048"/>
            <w:vAlign w:val="top"/>
          </w:tcPr>
          <w:p>
            <w:pPr>
              <w:spacing w:after="20"/>
            </w:pPr>
            <w:r>
              <w:rPr>
                <w:sz w:val="16"/>
              </w:rPr>
              <w:t>Tier 1 = containers in a dedicated WSL2 distro (automount/interop off), Docker Engine or Podman; container escape to the WSL2 VM accepted as v1 risk.</w:t>
            </w:r>
          </w:p>
        </w:tc>
      </w:tr>
      <w:tr>
        <w:trPr>
          <w:cantSplit/>
        </w:trPr>
        <w:tc>
          <w:tcPr>
            <w:tcW w:type="dxa" w:w="1344"/>
            <w:vAlign w:val="top"/>
          </w:tcPr>
          <w:p>
            <w:pPr>
              <w:spacing w:after="20"/>
            </w:pPr>
            <w:r>
              <w:rPr>
                <w:sz w:val="16"/>
              </w:rPr>
              <w:t>ADR-016</w:t>
            </w:r>
            <w:r>
              <w:rPr>
                <w:i/>
                <w:color w:val="7F7F7F"/>
                <w:sz w:val="14"/>
              </w:rPr>
              <w:t xml:space="preserve"> [new v1.1]</w:t>
            </w:r>
          </w:p>
        </w:tc>
        <w:tc>
          <w:tcPr>
            <w:tcW w:type="dxa" w:w="2688"/>
            <w:vAlign w:val="top"/>
          </w:tcPr>
          <w:p>
            <w:pPr>
              <w:spacing w:after="20"/>
            </w:pPr>
            <w:r>
              <w:rPr>
                <w:sz w:val="16"/>
              </w:rPr>
              <w:t>Delegation and Task-Scoped Authority</w:t>
            </w:r>
          </w:p>
        </w:tc>
        <w:tc>
          <w:tcPr>
            <w:tcW w:type="dxa" w:w="6048"/>
            <w:vAlign w:val="top"/>
          </w:tcPr>
          <w:p>
            <w:pPr>
              <w:spacing w:after="20"/>
            </w:pPr>
            <w:r>
              <w:rPr>
                <w:sz w:val="16"/>
              </w:rPr>
              <w:t>Attenuable, expiring, revocable delegation checked on every call; DB-backed handles in v1.</w:t>
            </w:r>
          </w:p>
        </w:tc>
      </w:tr>
      <w:tr>
        <w:trPr>
          <w:cantSplit/>
        </w:trPr>
        <w:tc>
          <w:tcPr>
            <w:tcW w:type="dxa" w:w="1344"/>
            <w:vAlign w:val="top"/>
          </w:tcPr>
          <w:p>
            <w:pPr>
              <w:spacing w:after="20"/>
            </w:pPr>
            <w:r>
              <w:rPr>
                <w:sz w:val="16"/>
              </w:rPr>
              <w:t>ADR-017</w:t>
            </w:r>
            <w:r>
              <w:rPr>
                <w:i/>
                <w:color w:val="7F7F7F"/>
                <w:sz w:val="14"/>
              </w:rPr>
              <w:t xml:space="preserve"> [new v1.1]</w:t>
            </w:r>
          </w:p>
        </w:tc>
        <w:tc>
          <w:tcPr>
            <w:tcW w:type="dxa" w:w="2688"/>
            <w:vAlign w:val="top"/>
          </w:tcPr>
          <w:p>
            <w:pPr>
              <w:spacing w:after="20"/>
            </w:pPr>
            <w:r>
              <w:rPr>
                <w:sz w:val="16"/>
              </w:rPr>
              <w:t>Human Approval Contract</w:t>
            </w:r>
          </w:p>
        </w:tc>
        <w:tc>
          <w:tcPr>
            <w:tcW w:type="dxa" w:w="6048"/>
            <w:vAlign w:val="top"/>
          </w:tcPr>
          <w:p>
            <w:pPr>
              <w:spacing w:after="20"/>
            </w:pPr>
            <w:r>
              <w:rPr>
                <w:sz w:val="16"/>
              </w:rPr>
              <w:t>Approvals are Core objects bound to exact arguments, expire as denied, and require approval-capable clients for high-risk classes.</w:t>
            </w:r>
          </w:p>
        </w:tc>
      </w:tr>
      <w:tr>
        <w:trPr>
          <w:cantSplit/>
        </w:trPr>
        <w:tc>
          <w:tcPr>
            <w:tcW w:type="dxa" w:w="1344"/>
            <w:vAlign w:val="top"/>
          </w:tcPr>
          <w:p>
            <w:pPr>
              <w:spacing w:after="20"/>
            </w:pPr>
            <w:r>
              <w:rPr>
                <w:sz w:val="16"/>
              </w:rPr>
              <w:t>ADR-018</w:t>
            </w:r>
            <w:r>
              <w:rPr>
                <w:i/>
                <w:color w:val="7F7F7F"/>
                <w:sz w:val="14"/>
              </w:rPr>
              <w:t xml:space="preserve"> [new v1.1]</w:t>
            </w:r>
          </w:p>
        </w:tc>
        <w:tc>
          <w:tcPr>
            <w:tcW w:type="dxa" w:w="2688"/>
            <w:vAlign w:val="top"/>
          </w:tcPr>
          <w:p>
            <w:pPr>
              <w:spacing w:after="20"/>
            </w:pPr>
            <w:r>
              <w:rPr>
                <w:sz w:val="16"/>
              </w:rPr>
              <w:t>v1 Persistence</w:t>
            </w:r>
          </w:p>
        </w:tc>
        <w:tc>
          <w:tcPr>
            <w:tcW w:type="dxa" w:w="6048"/>
            <w:vAlign w:val="top"/>
          </w:tcPr>
          <w:p>
            <w:pPr>
              <w:spacing w:after="20"/>
            </w:pPr>
            <w:r>
              <w:rPr>
                <w:sz w:val="16"/>
              </w:rPr>
              <w:t>Single SQLite database (WAL) for Core state; filesystem for canonical sources; repository interfaces allow later migration.</w:t>
            </w:r>
          </w:p>
        </w:tc>
      </w:tr>
      <w:tr>
        <w:trPr>
          <w:cantSplit/>
        </w:trPr>
        <w:tc>
          <w:tcPr>
            <w:tcW w:type="dxa" w:w="1344"/>
            <w:vAlign w:val="top"/>
          </w:tcPr>
          <w:p>
            <w:pPr>
              <w:spacing w:after="20"/>
            </w:pPr>
            <w:r>
              <w:rPr>
                <w:sz w:val="16"/>
              </w:rPr>
              <w:t>ADR-019</w:t>
            </w:r>
            <w:r>
              <w:rPr>
                <w:i/>
                <w:color w:val="7F7F7F"/>
                <w:sz w:val="14"/>
              </w:rPr>
              <w:t xml:space="preserve"> [new v1.1]</w:t>
            </w:r>
          </w:p>
        </w:tc>
        <w:tc>
          <w:tcPr>
            <w:tcW w:type="dxa" w:w="2688"/>
            <w:vAlign w:val="top"/>
          </w:tcPr>
          <w:p>
            <w:pPr>
              <w:spacing w:after="20"/>
            </w:pPr>
            <w:r>
              <w:rPr>
                <w:sz w:val="16"/>
              </w:rPr>
              <w:t>Agent Self-Modification Boundary</w:t>
            </w:r>
          </w:p>
        </w:tc>
        <w:tc>
          <w:tcPr>
            <w:tcW w:type="dxa" w:w="6048"/>
            <w:vAlign w:val="top"/>
          </w:tcPr>
          <w:p>
            <w:pPr>
              <w:spacing w:after="20"/>
            </w:pPr>
            <w:r>
              <w:rPr>
                <w:sz w:val="16"/>
              </w:rPr>
              <w:t>Agents propose; humans approve; releases apply (ARCH-023).</w:t>
            </w:r>
          </w:p>
        </w:tc>
      </w:tr>
      <w:tr>
        <w:trPr>
          <w:cantSplit/>
        </w:trPr>
        <w:tc>
          <w:tcPr>
            <w:tcW w:type="dxa" w:w="1344"/>
            <w:vAlign w:val="top"/>
          </w:tcPr>
          <w:p>
            <w:pPr>
              <w:spacing w:after="20"/>
            </w:pPr>
            <w:r>
              <w:rPr>
                <w:sz w:val="16"/>
              </w:rPr>
              <w:t>ADR-020</w:t>
            </w:r>
            <w:r>
              <w:rPr>
                <w:i/>
                <w:color w:val="7F7F7F"/>
                <w:sz w:val="14"/>
              </w:rPr>
              <w:t xml:space="preserve"> [new v1.1]</w:t>
            </w:r>
          </w:p>
        </w:tc>
        <w:tc>
          <w:tcPr>
            <w:tcW w:type="dxa" w:w="2688"/>
            <w:vAlign w:val="top"/>
          </w:tcPr>
          <w:p>
            <w:pPr>
              <w:spacing w:after="20"/>
            </w:pPr>
            <w:r>
              <w:rPr>
                <w:sz w:val="16"/>
              </w:rPr>
              <w:t>Idempotency and Unknown Outcomes</w:t>
            </w:r>
          </w:p>
        </w:tc>
        <w:tc>
          <w:tcPr>
            <w:tcW w:type="dxa" w:w="6048"/>
            <w:vAlign w:val="top"/>
          </w:tcPr>
          <w:p>
            <w:pPr>
              <w:spacing w:after="20"/>
            </w:pPr>
            <w:r>
              <w:rPr>
                <w:sz w:val="16"/>
              </w:rPr>
              <w:t>Idempotency keys on every invocation; non-idempotent actions at most once; outcome_unknown resolved by a human.</w:t>
            </w:r>
          </w:p>
        </w:tc>
      </w:tr>
      <w:tr>
        <w:trPr>
          <w:cantSplit/>
        </w:trPr>
        <w:tc>
          <w:tcPr>
            <w:tcW w:type="dxa" w:w="1344"/>
            <w:vAlign w:val="top"/>
          </w:tcPr>
          <w:p>
            <w:pPr>
              <w:spacing w:after="20"/>
            </w:pPr>
            <w:r>
              <w:rPr>
                <w:sz w:val="16"/>
              </w:rPr>
              <w:t>ADR-021</w:t>
            </w:r>
            <w:r>
              <w:rPr>
                <w:i/>
                <w:color w:val="7F7F7F"/>
                <w:sz w:val="14"/>
              </w:rPr>
              <w:t xml:space="preserve"> [new v1.1]</w:t>
            </w:r>
          </w:p>
        </w:tc>
        <w:tc>
          <w:tcPr>
            <w:tcW w:type="dxa" w:w="2688"/>
            <w:vAlign w:val="top"/>
          </w:tcPr>
          <w:p>
            <w:pPr>
              <w:spacing w:after="20"/>
            </w:pPr>
            <w:r>
              <w:rPr>
                <w:sz w:val="16"/>
              </w:rPr>
              <w:t>v1 In-Process Policy Evaluation</w:t>
            </w:r>
          </w:p>
        </w:tc>
        <w:tc>
          <w:tcPr>
            <w:tcW w:type="dxa" w:w="6048"/>
            <w:vAlign w:val="top"/>
          </w:tcPr>
          <w:p>
            <w:pPr>
              <w:spacing w:after="20"/>
            </w:pPr>
            <w:r>
              <w:rPr>
                <w:sz w:val="16"/>
              </w:rPr>
              <w:t>Declarative policy table evaluated in Core; OPA introduced later behind PolicyEngineProvider.</w:t>
            </w:r>
          </w:p>
        </w:tc>
      </w:tr>
    </w:tbl>
    <w:p/>
    <w:p>
      <w:pPr>
        <w:pStyle w:val="Heading1"/>
      </w:pPr>
      <w:r>
        <w:t>23. Candidate Technology Registry (Non-Binding)</w:t>
      </w:r>
    </w:p>
    <w:tbl>
      <w:tblPr>
        <w:tblStyle w:val="TableGrid"/>
        <w:tblW w:type="auto" w:w="0"/>
        <w:jc w:val="center"/>
        <w:tblLook w:firstColumn="1" w:firstRow="1" w:lastColumn="0" w:lastRow="0" w:noHBand="0" w:noVBand="1" w:val="04A0"/>
      </w:tblPr>
      <w:tblGrid>
        <w:gridCol w:w="2016"/>
        <w:gridCol w:w="2016"/>
        <w:gridCol w:w="2016"/>
        <w:gridCol w:w="4032"/>
      </w:tblGrid>
      <w:tr>
        <w:trPr>
          <w:tblHeader w:val="true"/>
        </w:trPr>
        <w:tc>
          <w:tcPr>
            <w:tcW w:type="dxa" w:w="2016"/>
            <w:shd w:fill="D9EAF7"/>
            <w:vAlign w:val="center"/>
          </w:tcPr>
          <w:p>
            <w:r>
              <w:rPr>
                <w:b/>
                <w:sz w:val="17"/>
              </w:rPr>
              <w:t>Area</w:t>
            </w:r>
          </w:p>
        </w:tc>
        <w:tc>
          <w:tcPr>
            <w:tcW w:type="dxa" w:w="2016"/>
            <w:shd w:fill="D9EAF7"/>
            <w:vAlign w:val="center"/>
          </w:tcPr>
          <w:p>
            <w:r>
              <w:rPr>
                <w:b/>
                <w:sz w:val="17"/>
              </w:rPr>
              <w:t>Candidate</w:t>
            </w:r>
          </w:p>
        </w:tc>
        <w:tc>
          <w:tcPr>
            <w:tcW w:type="dxa" w:w="2016"/>
            <w:shd w:fill="D9EAF7"/>
            <w:vAlign w:val="center"/>
          </w:tcPr>
          <w:p>
            <w:r>
              <w:rPr>
                <w:b/>
                <w:sz w:val="17"/>
              </w:rPr>
              <w:t>Disposition</w:t>
            </w:r>
          </w:p>
        </w:tc>
        <w:tc>
          <w:tcPr>
            <w:tcW w:type="dxa" w:w="4032"/>
            <w:shd w:fill="D9EAF7"/>
            <w:vAlign w:val="center"/>
          </w:tcPr>
          <w:p>
            <w:r>
              <w:rPr>
                <w:b/>
                <w:sz w:val="17"/>
              </w:rPr>
              <w:t>Boundary</w:t>
            </w:r>
          </w:p>
        </w:tc>
      </w:tr>
      <w:tr>
        <w:trPr>
          <w:cantSplit/>
        </w:trPr>
        <w:tc>
          <w:tcPr>
            <w:tcW w:type="dxa" w:w="2016"/>
            <w:vAlign w:val="top"/>
          </w:tcPr>
          <w:p>
            <w:pPr>
              <w:spacing w:after="20"/>
            </w:pPr>
            <w:r>
              <w:rPr>
                <w:sz w:val="16"/>
              </w:rPr>
              <w:t>Policy</w:t>
            </w:r>
          </w:p>
        </w:tc>
        <w:tc>
          <w:tcPr>
            <w:tcW w:type="dxa" w:w="2016"/>
            <w:vAlign w:val="top"/>
          </w:tcPr>
          <w:p>
            <w:pPr>
              <w:spacing w:after="20"/>
            </w:pPr>
            <w:r>
              <w:rPr>
                <w:sz w:val="16"/>
              </w:rPr>
              <w:t>OPA</w:t>
            </w:r>
          </w:p>
        </w:tc>
        <w:tc>
          <w:tcPr>
            <w:tcW w:type="dxa" w:w="2016"/>
            <w:vAlign w:val="top"/>
          </w:tcPr>
          <w:p>
            <w:pPr>
              <w:spacing w:after="20"/>
            </w:pPr>
            <w:r>
              <w:rPr>
                <w:sz w:val="16"/>
              </w:rPr>
              <w:t>Post-v1 candidate</w:t>
            </w:r>
            <w:r>
              <w:rPr>
                <w:i/>
                <w:color w:val="7F7F7F"/>
                <w:sz w:val="14"/>
              </w:rPr>
              <w:t xml:space="preserve"> [changed v1.1]</w:t>
            </w:r>
          </w:p>
        </w:tc>
        <w:tc>
          <w:tcPr>
            <w:tcW w:type="dxa" w:w="4032"/>
            <w:vAlign w:val="top"/>
          </w:tcPr>
          <w:p>
            <w:pPr>
              <w:spacing w:after="20"/>
            </w:pPr>
            <w:r>
              <w:rPr>
                <w:sz w:val="16"/>
              </w:rPr>
              <w:t>Freya retains policy semantics; v1 evaluates in-process.</w:t>
            </w:r>
          </w:p>
        </w:tc>
      </w:tr>
      <w:tr>
        <w:trPr>
          <w:cantSplit/>
        </w:trPr>
        <w:tc>
          <w:tcPr>
            <w:tcW w:type="dxa" w:w="2016"/>
            <w:vAlign w:val="top"/>
          </w:tcPr>
          <w:p>
            <w:pPr>
              <w:spacing w:after="20"/>
            </w:pPr>
            <w:r>
              <w:rPr>
                <w:sz w:val="16"/>
              </w:rPr>
              <w:t>Workload identity</w:t>
            </w:r>
          </w:p>
        </w:tc>
        <w:tc>
          <w:tcPr>
            <w:tcW w:type="dxa" w:w="2016"/>
            <w:vAlign w:val="top"/>
          </w:tcPr>
          <w:p>
            <w:pPr>
              <w:spacing w:after="20"/>
            </w:pPr>
            <w:r>
              <w:rPr>
                <w:sz w:val="16"/>
              </w:rPr>
              <w:t>SPIFFE/SPIRE</w:t>
            </w:r>
          </w:p>
        </w:tc>
        <w:tc>
          <w:tcPr>
            <w:tcW w:type="dxa" w:w="2016"/>
            <w:vAlign w:val="top"/>
          </w:tcPr>
          <w:p>
            <w:pPr>
              <w:spacing w:after="20"/>
            </w:pPr>
            <w:r>
              <w:rPr>
                <w:sz w:val="16"/>
              </w:rPr>
              <w:t>Future strong candidate</w:t>
            </w:r>
          </w:p>
        </w:tc>
        <w:tc>
          <w:tcPr>
            <w:tcW w:type="dxa" w:w="4032"/>
            <w:vAlign w:val="top"/>
          </w:tcPr>
          <w:p>
            <w:pPr>
              <w:spacing w:after="20"/>
            </w:pPr>
            <w:r>
              <w:rPr>
                <w:sz w:val="16"/>
              </w:rPr>
              <w:t>Maps well to independent trust domains/federation.</w:t>
            </w:r>
          </w:p>
        </w:tc>
      </w:tr>
      <w:tr>
        <w:trPr>
          <w:cantSplit/>
        </w:trPr>
        <w:tc>
          <w:tcPr>
            <w:tcW w:type="dxa" w:w="2016"/>
            <w:vAlign w:val="top"/>
          </w:tcPr>
          <w:p>
            <w:pPr>
              <w:spacing w:after="20"/>
            </w:pPr>
            <w:r>
              <w:rPr>
                <w:sz w:val="16"/>
              </w:rPr>
              <w:t>Secrets/PKI</w:t>
            </w:r>
          </w:p>
        </w:tc>
        <w:tc>
          <w:tcPr>
            <w:tcW w:type="dxa" w:w="2016"/>
            <w:vAlign w:val="top"/>
          </w:tcPr>
          <w:p>
            <w:pPr>
              <w:spacing w:after="20"/>
            </w:pPr>
            <w:r>
              <w:rPr>
                <w:sz w:val="16"/>
              </w:rPr>
              <w:t>OpenBao</w:t>
            </w:r>
          </w:p>
        </w:tc>
        <w:tc>
          <w:tcPr>
            <w:tcW w:type="dxa" w:w="2016"/>
            <w:vAlign w:val="top"/>
          </w:tcPr>
          <w:p>
            <w:pPr>
              <w:spacing w:after="20"/>
            </w:pPr>
            <w:r>
              <w:rPr>
                <w:sz w:val="16"/>
              </w:rPr>
              <w:t>Strong candidate (post-v1)</w:t>
            </w:r>
          </w:p>
        </w:tc>
        <w:tc>
          <w:tcPr>
            <w:tcW w:type="dxa" w:w="4032"/>
            <w:vAlign w:val="top"/>
          </w:tcPr>
          <w:p>
            <w:pPr>
              <w:spacing w:after="20"/>
            </w:pPr>
            <w:r>
              <w:rPr>
                <w:sz w:val="16"/>
              </w:rPr>
              <w:t>Behind SecretsProvider/PKIProvider; v1 uses the OS credential store.</w:t>
            </w:r>
          </w:p>
        </w:tc>
      </w:tr>
      <w:tr>
        <w:trPr>
          <w:cantSplit/>
        </w:trPr>
        <w:tc>
          <w:tcPr>
            <w:tcW w:type="dxa" w:w="2016"/>
            <w:vAlign w:val="top"/>
          </w:tcPr>
          <w:p>
            <w:pPr>
              <w:spacing w:after="20"/>
            </w:pPr>
            <w:r>
              <w:rPr>
                <w:sz w:val="16"/>
              </w:rPr>
              <w:t>Core persistence</w:t>
            </w:r>
            <w:r>
              <w:rPr>
                <w:i/>
                <w:color w:val="7F7F7F"/>
                <w:sz w:val="14"/>
              </w:rPr>
              <w:t xml:space="preserve"> [new v1.1]</w:t>
            </w:r>
          </w:p>
        </w:tc>
        <w:tc>
          <w:tcPr>
            <w:tcW w:type="dxa" w:w="2016"/>
            <w:vAlign w:val="top"/>
          </w:tcPr>
          <w:p>
            <w:pPr>
              <w:spacing w:after="20"/>
            </w:pPr>
            <w:r>
              <w:rPr>
                <w:sz w:val="16"/>
              </w:rPr>
              <w:t>SQLite (WAL)</w:t>
            </w:r>
          </w:p>
        </w:tc>
        <w:tc>
          <w:tcPr>
            <w:tcW w:type="dxa" w:w="2016"/>
            <w:vAlign w:val="top"/>
          </w:tcPr>
          <w:p>
            <w:pPr>
              <w:spacing w:after="20"/>
            </w:pPr>
            <w:r>
              <w:rPr>
                <w:sz w:val="16"/>
              </w:rPr>
              <w:t>v1</w:t>
            </w:r>
          </w:p>
        </w:tc>
        <w:tc>
          <w:tcPr>
            <w:tcW w:type="dxa" w:w="4032"/>
            <w:vAlign w:val="top"/>
          </w:tcPr>
          <w:p>
            <w:pPr>
              <w:spacing w:after="20"/>
            </w:pPr>
            <w:r>
              <w:rPr>
                <w:sz w:val="16"/>
              </w:rPr>
              <w:t>Behind repository interfaces; PostgreSQL later if needed.</w:t>
            </w:r>
          </w:p>
        </w:tc>
      </w:tr>
      <w:tr>
        <w:trPr>
          <w:cantSplit/>
        </w:trPr>
        <w:tc>
          <w:tcPr>
            <w:tcW w:type="dxa" w:w="2016"/>
            <w:vAlign w:val="top"/>
          </w:tcPr>
          <w:p>
            <w:pPr>
              <w:spacing w:after="20"/>
            </w:pPr>
            <w:r>
              <w:rPr>
                <w:sz w:val="16"/>
              </w:rPr>
              <w:t>Sandbox isolation</w:t>
            </w:r>
            <w:r>
              <w:rPr>
                <w:i/>
                <w:color w:val="7F7F7F"/>
                <w:sz w:val="14"/>
              </w:rPr>
              <w:t xml:space="preserve"> [new v1.1]</w:t>
            </w:r>
          </w:p>
        </w:tc>
        <w:tc>
          <w:tcPr>
            <w:tcW w:type="dxa" w:w="2016"/>
            <w:vAlign w:val="top"/>
          </w:tcPr>
          <w:p>
            <w:pPr>
              <w:spacing w:after="20"/>
            </w:pPr>
            <w:r>
              <w:rPr>
                <w:sz w:val="16"/>
              </w:rPr>
              <w:t>Docker Engine / Podman in dedicated WSL2 distro</w:t>
            </w:r>
          </w:p>
        </w:tc>
        <w:tc>
          <w:tcPr>
            <w:tcW w:type="dxa" w:w="2016"/>
            <w:vAlign w:val="top"/>
          </w:tcPr>
          <w:p>
            <w:pPr>
              <w:spacing w:after="20"/>
            </w:pPr>
            <w:r>
              <w:rPr>
                <w:sz w:val="16"/>
              </w:rPr>
              <w:t>v1 Tier 1</w:t>
            </w:r>
          </w:p>
        </w:tc>
        <w:tc>
          <w:tcPr>
            <w:tcW w:type="dxa" w:w="4032"/>
            <w:vAlign w:val="top"/>
          </w:tcPr>
          <w:p>
            <w:pPr>
              <w:spacing w:after="20"/>
            </w:pPr>
            <w:r>
              <w:rPr>
                <w:sz w:val="16"/>
              </w:rPr>
              <w:t>Avoid Docker Desktop for commercial-licensing reasons (LIC-008).</w:t>
            </w:r>
          </w:p>
        </w:tc>
      </w:tr>
      <w:tr>
        <w:trPr>
          <w:cantSplit/>
        </w:trPr>
        <w:tc>
          <w:tcPr>
            <w:tcW w:type="dxa" w:w="2016"/>
            <w:vAlign w:val="top"/>
          </w:tcPr>
          <w:p>
            <w:pPr>
              <w:spacing w:after="20"/>
            </w:pPr>
            <w:r>
              <w:rPr>
                <w:sz w:val="16"/>
              </w:rPr>
              <w:t>Delegation tokens</w:t>
            </w:r>
            <w:r>
              <w:rPr>
                <w:i/>
                <w:color w:val="7F7F7F"/>
                <w:sz w:val="14"/>
              </w:rPr>
              <w:t xml:space="preserve"> [new v1.1]</w:t>
            </w:r>
          </w:p>
        </w:tc>
        <w:tc>
          <w:tcPr>
            <w:tcW w:type="dxa" w:w="2016"/>
            <w:vAlign w:val="top"/>
          </w:tcPr>
          <w:p>
            <w:pPr>
              <w:spacing w:after="20"/>
            </w:pPr>
            <w:r>
              <w:rPr>
                <w:sz w:val="16"/>
              </w:rPr>
              <w:t>Biscuit or equivalent</w:t>
            </w:r>
          </w:p>
        </w:tc>
        <w:tc>
          <w:tcPr>
            <w:tcW w:type="dxa" w:w="2016"/>
            <w:vAlign w:val="top"/>
          </w:tcPr>
          <w:p>
            <w:pPr>
              <w:spacing w:after="20"/>
            </w:pPr>
            <w:r>
              <w:rPr>
                <w:sz w:val="16"/>
              </w:rPr>
              <w:t>Future candidate</w:t>
            </w:r>
          </w:p>
        </w:tc>
        <w:tc>
          <w:tcPr>
            <w:tcW w:type="dxa" w:w="4032"/>
            <w:vAlign w:val="top"/>
          </w:tcPr>
          <w:p>
            <w:pPr>
              <w:spacing w:after="20"/>
            </w:pPr>
            <w:r>
              <w:rPr>
                <w:sz w:val="16"/>
              </w:rPr>
              <w:t>Needed only for offline verification on other nodes.</w:t>
            </w:r>
          </w:p>
        </w:tc>
      </w:tr>
      <w:tr>
        <w:trPr>
          <w:cantSplit/>
        </w:trPr>
        <w:tc>
          <w:tcPr>
            <w:tcW w:type="dxa" w:w="2016"/>
            <w:vAlign w:val="top"/>
          </w:tcPr>
          <w:p>
            <w:pPr>
              <w:spacing w:after="20"/>
            </w:pPr>
            <w:r>
              <w:rPr>
                <w:sz w:val="16"/>
              </w:rPr>
              <w:t>Messaging</w:t>
            </w:r>
          </w:p>
        </w:tc>
        <w:tc>
          <w:tcPr>
            <w:tcW w:type="dxa" w:w="2016"/>
            <w:vAlign w:val="top"/>
          </w:tcPr>
          <w:p>
            <w:pPr>
              <w:spacing w:after="20"/>
            </w:pPr>
            <w:r>
              <w:rPr>
                <w:sz w:val="16"/>
              </w:rPr>
              <w:t>NATS/JetStream</w:t>
            </w:r>
          </w:p>
        </w:tc>
        <w:tc>
          <w:tcPr>
            <w:tcW w:type="dxa" w:w="2016"/>
            <w:vAlign w:val="top"/>
          </w:tcPr>
          <w:p>
            <w:pPr>
              <w:spacing w:after="20"/>
            </w:pPr>
            <w:r>
              <w:rPr>
                <w:sz w:val="16"/>
              </w:rPr>
              <w:t>Strong candidate</w:t>
            </w:r>
          </w:p>
        </w:tc>
        <w:tc>
          <w:tcPr>
            <w:tcW w:type="dxa" w:w="4032"/>
            <w:vAlign w:val="top"/>
          </w:tcPr>
          <w:p>
            <w:pPr>
              <w:spacing w:after="20"/>
            </w:pPr>
            <w:r>
              <w:rPr>
                <w:sz w:val="16"/>
              </w:rPr>
              <w:t>Transport does not define authority.</w:t>
            </w:r>
          </w:p>
        </w:tc>
      </w:tr>
      <w:tr>
        <w:trPr>
          <w:cantSplit/>
        </w:trPr>
        <w:tc>
          <w:tcPr>
            <w:tcW w:type="dxa" w:w="2016"/>
            <w:vAlign w:val="top"/>
          </w:tcPr>
          <w:p>
            <w:pPr>
              <w:spacing w:after="20"/>
            </w:pPr>
            <w:r>
              <w:rPr>
                <w:sz w:val="16"/>
              </w:rPr>
              <w:t>Durable workflows</w:t>
            </w:r>
          </w:p>
        </w:tc>
        <w:tc>
          <w:tcPr>
            <w:tcW w:type="dxa" w:w="2016"/>
            <w:vAlign w:val="top"/>
          </w:tcPr>
          <w:p>
            <w:pPr>
              <w:spacing w:after="20"/>
            </w:pPr>
            <w:r>
              <w:rPr>
                <w:sz w:val="16"/>
              </w:rPr>
              <w:t>Temporal</w:t>
            </w:r>
          </w:p>
        </w:tc>
        <w:tc>
          <w:tcPr>
            <w:tcW w:type="dxa" w:w="2016"/>
            <w:vAlign w:val="top"/>
          </w:tcPr>
          <w:p>
            <w:pPr>
              <w:spacing w:after="20"/>
            </w:pPr>
            <w:r>
              <w:rPr>
                <w:sz w:val="16"/>
              </w:rPr>
              <w:t>Strong candidate</w:t>
            </w:r>
          </w:p>
        </w:tc>
        <w:tc>
          <w:tcPr>
            <w:tcW w:type="dxa" w:w="4032"/>
            <w:vAlign w:val="top"/>
          </w:tcPr>
          <w:p>
            <w:pPr>
              <w:spacing w:after="20"/>
            </w:pPr>
            <w:r>
              <w:rPr>
                <w:sz w:val="16"/>
              </w:rPr>
              <w:t>Avoid custom durable execution beyond the v1 step journal.</w:t>
            </w:r>
          </w:p>
        </w:tc>
      </w:tr>
      <w:tr>
        <w:trPr>
          <w:cantSplit/>
        </w:trPr>
        <w:tc>
          <w:tcPr>
            <w:tcW w:type="dxa" w:w="2016"/>
            <w:vAlign w:val="top"/>
          </w:tcPr>
          <w:p>
            <w:pPr>
              <w:spacing w:after="20"/>
            </w:pPr>
            <w:r>
              <w:rPr>
                <w:sz w:val="16"/>
              </w:rPr>
              <w:t>Distributed execution</w:t>
            </w:r>
          </w:p>
        </w:tc>
        <w:tc>
          <w:tcPr>
            <w:tcW w:type="dxa" w:w="2016"/>
            <w:vAlign w:val="top"/>
          </w:tcPr>
          <w:p>
            <w:pPr>
              <w:spacing w:after="20"/>
            </w:pPr>
            <w:r>
              <w:rPr>
                <w:sz w:val="16"/>
              </w:rPr>
              <w:t>Ray / Maze</w:t>
            </w:r>
          </w:p>
        </w:tc>
        <w:tc>
          <w:tcPr>
            <w:tcW w:type="dxa" w:w="2016"/>
            <w:vAlign w:val="top"/>
          </w:tcPr>
          <w:p>
            <w:pPr>
              <w:spacing w:after="20"/>
            </w:pPr>
            <w:r>
              <w:rPr>
                <w:sz w:val="16"/>
              </w:rPr>
              <w:t>Provider candidates</w:t>
            </w:r>
          </w:p>
        </w:tc>
        <w:tc>
          <w:tcPr>
            <w:tcW w:type="dxa" w:w="4032"/>
            <w:vAlign w:val="top"/>
          </w:tcPr>
          <w:p>
            <w:pPr>
              <w:spacing w:after="20"/>
            </w:pPr>
            <w:r>
              <w:rPr>
                <w:sz w:val="16"/>
              </w:rPr>
              <w:t>Keep Freya node abstraction independent.</w:t>
            </w:r>
          </w:p>
        </w:tc>
      </w:tr>
      <w:tr>
        <w:trPr>
          <w:cantSplit/>
        </w:trPr>
        <w:tc>
          <w:tcPr>
            <w:tcW w:type="dxa" w:w="2016"/>
            <w:vAlign w:val="top"/>
          </w:tcPr>
          <w:p>
            <w:pPr>
              <w:spacing w:after="20"/>
            </w:pPr>
            <w:r>
              <w:rPr>
                <w:sz w:val="16"/>
              </w:rPr>
              <w:t>Rack orchestration</w:t>
            </w:r>
          </w:p>
        </w:tc>
        <w:tc>
          <w:tcPr>
            <w:tcW w:type="dxa" w:w="2016"/>
            <w:vAlign w:val="top"/>
          </w:tcPr>
          <w:p>
            <w:pPr>
              <w:spacing w:after="20"/>
            </w:pPr>
            <w:r>
              <w:rPr>
                <w:sz w:val="16"/>
              </w:rPr>
              <w:t>K3s</w:t>
            </w:r>
          </w:p>
        </w:tc>
        <w:tc>
          <w:tcPr>
            <w:tcW w:type="dxa" w:w="2016"/>
            <w:vAlign w:val="top"/>
          </w:tcPr>
          <w:p>
            <w:pPr>
              <w:spacing w:after="20"/>
            </w:pPr>
            <w:r>
              <w:rPr>
                <w:sz w:val="16"/>
              </w:rPr>
              <w:t>Future candidate</w:t>
            </w:r>
          </w:p>
        </w:tc>
        <w:tc>
          <w:tcPr>
            <w:tcW w:type="dxa" w:w="4032"/>
            <w:vAlign w:val="top"/>
          </w:tcPr>
          <w:p>
            <w:pPr>
              <w:spacing w:after="20"/>
            </w:pPr>
            <w:r>
              <w:rPr>
                <w:sz w:val="16"/>
              </w:rPr>
              <w:t>Linux rack; not required on Windows alpha.</w:t>
            </w:r>
          </w:p>
        </w:tc>
      </w:tr>
      <w:tr>
        <w:trPr>
          <w:cantSplit/>
        </w:trPr>
        <w:tc>
          <w:tcPr>
            <w:tcW w:type="dxa" w:w="2016"/>
            <w:vAlign w:val="top"/>
          </w:tcPr>
          <w:p>
            <w:pPr>
              <w:spacing w:after="20"/>
            </w:pPr>
            <w:r>
              <w:rPr>
                <w:sz w:val="16"/>
              </w:rPr>
              <w:t>Distributed inference</w:t>
            </w:r>
          </w:p>
        </w:tc>
        <w:tc>
          <w:tcPr>
            <w:tcW w:type="dxa" w:w="2016"/>
            <w:vAlign w:val="top"/>
          </w:tcPr>
          <w:p>
            <w:pPr>
              <w:spacing w:after="20"/>
            </w:pPr>
            <w:r>
              <w:rPr>
                <w:sz w:val="16"/>
              </w:rPr>
              <w:t>NVIDIA Dynamo</w:t>
            </w:r>
          </w:p>
        </w:tc>
        <w:tc>
          <w:tcPr>
            <w:tcW w:type="dxa" w:w="2016"/>
            <w:vAlign w:val="top"/>
          </w:tcPr>
          <w:p>
            <w:pPr>
              <w:spacing w:after="20"/>
            </w:pPr>
            <w:r>
              <w:rPr>
                <w:sz w:val="16"/>
              </w:rPr>
              <w:t>Strong future candidate</w:t>
            </w:r>
          </w:p>
        </w:tc>
        <w:tc>
          <w:tcPr>
            <w:tcW w:type="dxa" w:w="4032"/>
            <w:vAlign w:val="top"/>
          </w:tcPr>
          <w:p>
            <w:pPr>
              <w:spacing w:after="20"/>
            </w:pPr>
            <w:r>
              <w:rPr>
                <w:sz w:val="16"/>
              </w:rPr>
              <w:t>Works with vLLM/SGLang/TensorRT-LLM; Freya retains governance.</w:t>
            </w:r>
          </w:p>
        </w:tc>
      </w:tr>
      <w:tr>
        <w:trPr>
          <w:cantSplit/>
        </w:trPr>
        <w:tc>
          <w:tcPr>
            <w:tcW w:type="dxa" w:w="2016"/>
            <w:vAlign w:val="top"/>
          </w:tcPr>
          <w:p>
            <w:pPr>
              <w:spacing w:after="20"/>
            </w:pPr>
            <w:r>
              <w:rPr>
                <w:sz w:val="16"/>
              </w:rPr>
              <w:t>Local model runtime</w:t>
            </w:r>
          </w:p>
        </w:tc>
        <w:tc>
          <w:tcPr>
            <w:tcW w:type="dxa" w:w="2016"/>
            <w:vAlign w:val="top"/>
          </w:tcPr>
          <w:p>
            <w:pPr>
              <w:spacing w:after="20"/>
            </w:pPr>
            <w:r>
              <w:rPr>
                <w:sz w:val="16"/>
              </w:rPr>
              <w:t>Ollama</w:t>
            </w:r>
          </w:p>
        </w:tc>
        <w:tc>
          <w:tcPr>
            <w:tcW w:type="dxa" w:w="2016"/>
            <w:vAlign w:val="top"/>
          </w:tcPr>
          <w:p>
            <w:pPr>
              <w:spacing w:after="20"/>
            </w:pPr>
            <w:r>
              <w:rPr>
                <w:sz w:val="16"/>
              </w:rPr>
              <w:t>Initial provider</w:t>
            </w:r>
          </w:p>
        </w:tc>
        <w:tc>
          <w:tcPr>
            <w:tcW w:type="dxa" w:w="4032"/>
            <w:vAlign w:val="top"/>
          </w:tcPr>
          <w:p>
            <w:pPr>
              <w:spacing w:after="20"/>
            </w:pPr>
            <w:r>
              <w:rPr>
                <w:sz w:val="16"/>
              </w:rPr>
              <w:t>Already practical on current workstation; owns residency within Freya's budget.</w:t>
            </w:r>
          </w:p>
        </w:tc>
      </w:tr>
      <w:tr>
        <w:trPr>
          <w:cantSplit/>
        </w:trPr>
        <w:tc>
          <w:tcPr>
            <w:tcW w:type="dxa" w:w="2016"/>
            <w:vAlign w:val="top"/>
          </w:tcPr>
          <w:p>
            <w:pPr>
              <w:spacing w:after="20"/>
            </w:pPr>
            <w:r>
              <w:rPr>
                <w:sz w:val="16"/>
              </w:rPr>
              <w:t>Portable runtime</w:t>
            </w:r>
          </w:p>
        </w:tc>
        <w:tc>
          <w:tcPr>
            <w:tcW w:type="dxa" w:w="2016"/>
            <w:vAlign w:val="top"/>
          </w:tcPr>
          <w:p>
            <w:pPr>
              <w:spacing w:after="20"/>
            </w:pPr>
            <w:r>
              <w:rPr>
                <w:sz w:val="16"/>
              </w:rPr>
              <w:t>llama.cpp</w:t>
            </w:r>
          </w:p>
        </w:tc>
        <w:tc>
          <w:tcPr>
            <w:tcW w:type="dxa" w:w="2016"/>
            <w:vAlign w:val="top"/>
          </w:tcPr>
          <w:p>
            <w:pPr>
              <w:spacing w:after="20"/>
            </w:pPr>
            <w:r>
              <w:rPr>
                <w:sz w:val="16"/>
              </w:rPr>
              <w:t>Strong provider</w:t>
            </w:r>
          </w:p>
        </w:tc>
        <w:tc>
          <w:tcPr>
            <w:tcW w:type="dxa" w:w="4032"/>
            <w:vAlign w:val="top"/>
          </w:tcPr>
          <w:p>
            <w:pPr>
              <w:spacing w:after="20"/>
            </w:pPr>
            <w:r>
              <w:rPr>
                <w:sz w:val="16"/>
              </w:rPr>
              <w:t>Quantized/CPU/GPU portability; candidate second model provider.</w:t>
            </w:r>
          </w:p>
        </w:tc>
      </w:tr>
      <w:tr>
        <w:trPr>
          <w:cantSplit/>
        </w:trPr>
        <w:tc>
          <w:tcPr>
            <w:tcW w:type="dxa" w:w="2016"/>
            <w:vAlign w:val="top"/>
          </w:tcPr>
          <w:p>
            <w:pPr>
              <w:spacing w:after="20"/>
            </w:pPr>
            <w:r>
              <w:rPr>
                <w:sz w:val="16"/>
              </w:rPr>
              <w:t>Serving runtimes</w:t>
            </w:r>
          </w:p>
        </w:tc>
        <w:tc>
          <w:tcPr>
            <w:tcW w:type="dxa" w:w="2016"/>
            <w:vAlign w:val="top"/>
          </w:tcPr>
          <w:p>
            <w:pPr>
              <w:spacing w:after="20"/>
            </w:pPr>
            <w:r>
              <w:rPr>
                <w:sz w:val="16"/>
              </w:rPr>
              <w:t>vLLM / SGLang</w:t>
            </w:r>
          </w:p>
        </w:tc>
        <w:tc>
          <w:tcPr>
            <w:tcW w:type="dxa" w:w="2016"/>
            <w:vAlign w:val="top"/>
          </w:tcPr>
          <w:p>
            <w:pPr>
              <w:spacing w:after="20"/>
            </w:pPr>
            <w:r>
              <w:rPr>
                <w:sz w:val="16"/>
              </w:rPr>
              <w:t>Future providers</w:t>
            </w:r>
          </w:p>
        </w:tc>
        <w:tc>
          <w:tcPr>
            <w:tcW w:type="dxa" w:w="4032"/>
            <w:vAlign w:val="top"/>
          </w:tcPr>
          <w:p>
            <w:pPr>
              <w:spacing w:after="20"/>
            </w:pPr>
            <w:r>
              <w:rPr>
                <w:sz w:val="16"/>
              </w:rPr>
              <w:t>High-throughput dedicated nodes.</w:t>
            </w:r>
          </w:p>
        </w:tc>
      </w:tr>
      <w:tr>
        <w:trPr>
          <w:cantSplit/>
        </w:trPr>
        <w:tc>
          <w:tcPr>
            <w:tcW w:type="dxa" w:w="2016"/>
            <w:vAlign w:val="top"/>
          </w:tcPr>
          <w:p>
            <w:pPr>
              <w:spacing w:after="20"/>
            </w:pPr>
            <w:r>
              <w:rPr>
                <w:sz w:val="16"/>
              </w:rPr>
              <w:t>Model gateway/routing</w:t>
            </w:r>
          </w:p>
        </w:tc>
        <w:tc>
          <w:tcPr>
            <w:tcW w:type="dxa" w:w="2016"/>
            <w:vAlign w:val="top"/>
          </w:tcPr>
          <w:p>
            <w:pPr>
              <w:spacing w:after="20"/>
            </w:pPr>
            <w:r>
              <w:rPr>
                <w:sz w:val="16"/>
              </w:rPr>
              <w:t>LiteLLM / RouteLLM</w:t>
            </w:r>
          </w:p>
        </w:tc>
        <w:tc>
          <w:tcPr>
            <w:tcW w:type="dxa" w:w="2016"/>
            <w:vAlign w:val="top"/>
          </w:tcPr>
          <w:p>
            <w:pPr>
              <w:spacing w:after="20"/>
            </w:pPr>
            <w:r>
              <w:rPr>
                <w:sz w:val="16"/>
              </w:rPr>
              <w:t>Borrow/integrate</w:t>
            </w:r>
          </w:p>
        </w:tc>
        <w:tc>
          <w:tcPr>
            <w:tcW w:type="dxa" w:w="4032"/>
            <w:vAlign w:val="top"/>
          </w:tcPr>
          <w:p>
            <w:pPr>
              <w:spacing w:after="20"/>
            </w:pPr>
            <w:r>
              <w:rPr>
                <w:sz w:val="16"/>
              </w:rPr>
              <w:t>Freya adds privacy/resource/security criteria.</w:t>
            </w:r>
          </w:p>
        </w:tc>
      </w:tr>
      <w:tr>
        <w:trPr>
          <w:cantSplit/>
        </w:trPr>
        <w:tc>
          <w:tcPr>
            <w:tcW w:type="dxa" w:w="2016"/>
            <w:vAlign w:val="top"/>
          </w:tcPr>
          <w:p>
            <w:pPr>
              <w:spacing w:after="20"/>
            </w:pPr>
            <w:r>
              <w:rPr>
                <w:sz w:val="16"/>
              </w:rPr>
              <w:t>Model registry</w:t>
            </w:r>
          </w:p>
        </w:tc>
        <w:tc>
          <w:tcPr>
            <w:tcW w:type="dxa" w:w="2016"/>
            <w:vAlign w:val="top"/>
          </w:tcPr>
          <w:p>
            <w:pPr>
              <w:spacing w:after="20"/>
            </w:pPr>
            <w:r>
              <w:rPr>
                <w:sz w:val="16"/>
              </w:rPr>
              <w:t>MLflow</w:t>
            </w:r>
          </w:p>
        </w:tc>
        <w:tc>
          <w:tcPr>
            <w:tcW w:type="dxa" w:w="2016"/>
            <w:vAlign w:val="top"/>
          </w:tcPr>
          <w:p>
            <w:pPr>
              <w:spacing w:after="20"/>
            </w:pPr>
            <w:r>
              <w:rPr>
                <w:sz w:val="16"/>
              </w:rPr>
              <w:t>Extend/integrate</w:t>
            </w:r>
          </w:p>
        </w:tc>
        <w:tc>
          <w:tcPr>
            <w:tcW w:type="dxa" w:w="4032"/>
            <w:vAlign w:val="top"/>
          </w:tcPr>
          <w:p>
            <w:pPr>
              <w:spacing w:after="20"/>
            </w:pPr>
            <w:r>
              <w:rPr>
                <w:sz w:val="16"/>
              </w:rPr>
              <w:t>Freya-specific metadata overlay.</w:t>
            </w:r>
          </w:p>
        </w:tc>
      </w:tr>
      <w:tr>
        <w:trPr>
          <w:cantSplit/>
        </w:trPr>
        <w:tc>
          <w:tcPr>
            <w:tcW w:type="dxa" w:w="2016"/>
            <w:vAlign w:val="top"/>
          </w:tcPr>
          <w:p>
            <w:pPr>
              <w:spacing w:after="20"/>
            </w:pPr>
            <w:r>
              <w:rPr>
                <w:sz w:val="16"/>
              </w:rPr>
              <w:t>Vector retrieval</w:t>
            </w:r>
          </w:p>
        </w:tc>
        <w:tc>
          <w:tcPr>
            <w:tcW w:type="dxa" w:w="2016"/>
            <w:vAlign w:val="top"/>
          </w:tcPr>
          <w:p>
            <w:pPr>
              <w:spacing w:after="20"/>
            </w:pPr>
            <w:r>
              <w:rPr>
                <w:sz w:val="16"/>
              </w:rPr>
              <w:t>Qdrant</w:t>
            </w:r>
          </w:p>
        </w:tc>
        <w:tc>
          <w:tcPr>
            <w:tcW w:type="dxa" w:w="2016"/>
            <w:vAlign w:val="top"/>
          </w:tcPr>
          <w:p>
            <w:pPr>
              <w:spacing w:after="20"/>
            </w:pPr>
            <w:r>
              <w:rPr>
                <w:sz w:val="16"/>
              </w:rPr>
              <w:t>Strong candidate</w:t>
            </w:r>
          </w:p>
        </w:tc>
        <w:tc>
          <w:tcPr>
            <w:tcW w:type="dxa" w:w="4032"/>
            <w:vAlign w:val="top"/>
          </w:tcPr>
          <w:p>
            <w:pPr>
              <w:spacing w:after="20"/>
            </w:pPr>
            <w:r>
              <w:rPr>
                <w:sz w:val="16"/>
              </w:rPr>
              <w:t>Not synonymous with memory.</w:t>
            </w:r>
          </w:p>
        </w:tc>
      </w:tr>
      <w:tr>
        <w:trPr>
          <w:cantSplit/>
        </w:trPr>
        <w:tc>
          <w:tcPr>
            <w:tcW w:type="dxa" w:w="2016"/>
            <w:vAlign w:val="top"/>
          </w:tcPr>
          <w:p>
            <w:pPr>
              <w:spacing w:after="20"/>
            </w:pPr>
            <w:r>
              <w:rPr>
                <w:sz w:val="16"/>
              </w:rPr>
              <w:t>Document ingestion</w:t>
            </w:r>
          </w:p>
        </w:tc>
        <w:tc>
          <w:tcPr>
            <w:tcW w:type="dxa" w:w="2016"/>
            <w:vAlign w:val="top"/>
          </w:tcPr>
          <w:p>
            <w:pPr>
              <w:spacing w:after="20"/>
            </w:pPr>
            <w:r>
              <w:rPr>
                <w:sz w:val="16"/>
              </w:rPr>
              <w:t>Docling</w:t>
            </w:r>
          </w:p>
        </w:tc>
        <w:tc>
          <w:tcPr>
            <w:tcW w:type="dxa" w:w="2016"/>
            <w:vAlign w:val="top"/>
          </w:tcPr>
          <w:p>
            <w:pPr>
              <w:spacing w:after="20"/>
            </w:pPr>
            <w:r>
              <w:rPr>
                <w:sz w:val="16"/>
              </w:rPr>
              <w:t>Strong candidate</w:t>
            </w:r>
          </w:p>
        </w:tc>
        <w:tc>
          <w:tcPr>
            <w:tcW w:type="dxa" w:w="4032"/>
            <w:vAlign w:val="top"/>
          </w:tcPr>
          <w:p>
            <w:pPr>
              <w:spacing w:after="20"/>
            </w:pPr>
            <w:r>
              <w:rPr>
                <w:sz w:val="16"/>
              </w:rPr>
              <w:t>Canonical sources retained.</w:t>
            </w:r>
          </w:p>
        </w:tc>
      </w:tr>
      <w:tr>
        <w:trPr>
          <w:cantSplit/>
        </w:trPr>
        <w:tc>
          <w:tcPr>
            <w:tcW w:type="dxa" w:w="2016"/>
            <w:vAlign w:val="top"/>
          </w:tcPr>
          <w:p>
            <w:pPr>
              <w:spacing w:after="20"/>
            </w:pPr>
            <w:r>
              <w:rPr>
                <w:sz w:val="16"/>
              </w:rPr>
              <w:t>Memory architecture</w:t>
            </w:r>
          </w:p>
        </w:tc>
        <w:tc>
          <w:tcPr>
            <w:tcW w:type="dxa" w:w="2016"/>
            <w:vAlign w:val="top"/>
          </w:tcPr>
          <w:p>
            <w:pPr>
              <w:spacing w:after="20"/>
            </w:pPr>
            <w:r>
              <w:rPr>
                <w:sz w:val="16"/>
              </w:rPr>
              <w:t>Letta / Mem0 concepts</w:t>
            </w:r>
          </w:p>
        </w:tc>
        <w:tc>
          <w:tcPr>
            <w:tcW w:type="dxa" w:w="2016"/>
            <w:vAlign w:val="top"/>
          </w:tcPr>
          <w:p>
            <w:pPr>
              <w:spacing w:after="20"/>
            </w:pPr>
            <w:r>
              <w:rPr>
                <w:sz w:val="16"/>
              </w:rPr>
              <w:t>Borrow/prototype</w:t>
            </w:r>
          </w:p>
        </w:tc>
        <w:tc>
          <w:tcPr>
            <w:tcW w:type="dxa" w:w="4032"/>
            <w:vAlign w:val="top"/>
          </w:tcPr>
          <w:p>
            <w:pPr>
              <w:spacing w:after="20"/>
            </w:pPr>
            <w:r>
              <w:rPr>
                <w:sz w:val="16"/>
              </w:rPr>
              <w:t>Freya owns memory semantics/provenance.</w:t>
            </w:r>
          </w:p>
        </w:tc>
      </w:tr>
      <w:tr>
        <w:trPr>
          <w:cantSplit/>
        </w:trPr>
        <w:tc>
          <w:tcPr>
            <w:tcW w:type="dxa" w:w="2016"/>
            <w:vAlign w:val="top"/>
          </w:tcPr>
          <w:p>
            <w:pPr>
              <w:spacing w:after="20"/>
            </w:pPr>
            <w:r>
              <w:rPr>
                <w:sz w:val="16"/>
              </w:rPr>
              <w:t>Agent runtimes</w:t>
            </w:r>
            <w:r>
              <w:rPr>
                <w:i/>
                <w:color w:val="7F7F7F"/>
                <w:sz w:val="14"/>
              </w:rPr>
              <w:t xml:space="preserve"> [new v1.1]</w:t>
            </w:r>
          </w:p>
        </w:tc>
        <w:tc>
          <w:tcPr>
            <w:tcW w:type="dxa" w:w="2016"/>
            <w:vAlign w:val="top"/>
          </w:tcPr>
          <w:p>
            <w:pPr>
              <w:spacing w:after="20"/>
            </w:pPr>
            <w:r>
              <w:rPr>
                <w:sz w:val="16"/>
              </w:rPr>
              <w:t>Hermes / Agent Zero</w:t>
            </w:r>
          </w:p>
        </w:tc>
        <w:tc>
          <w:tcPr>
            <w:tcW w:type="dxa" w:w="2016"/>
            <w:vAlign w:val="top"/>
          </w:tcPr>
          <w:p>
            <w:pPr>
              <w:spacing w:after="20"/>
            </w:pPr>
            <w:r>
              <w:rPr>
                <w:sz w:val="16"/>
              </w:rPr>
              <w:t>Post-v1 provider candidates</w:t>
            </w:r>
          </w:p>
        </w:tc>
        <w:tc>
          <w:tcPr>
            <w:tcW w:type="dxa" w:w="4032"/>
            <w:vAlign w:val="top"/>
          </w:tcPr>
          <w:p>
            <w:pPr>
              <w:spacing w:after="20"/>
            </w:pPr>
            <w:r>
              <w:rPr>
                <w:sz w:val="16"/>
              </w:rPr>
              <w:t>Admitted only under §11.1 containment.</w:t>
            </w:r>
          </w:p>
        </w:tc>
      </w:tr>
      <w:tr>
        <w:trPr>
          <w:cantSplit/>
        </w:trPr>
        <w:tc>
          <w:tcPr>
            <w:tcW w:type="dxa" w:w="2016"/>
            <w:vAlign w:val="top"/>
          </w:tcPr>
          <w:p>
            <w:pPr>
              <w:spacing w:after="20"/>
            </w:pPr>
            <w:r>
              <w:rPr>
                <w:sz w:val="16"/>
              </w:rPr>
              <w:t>Observability</w:t>
            </w:r>
          </w:p>
        </w:tc>
        <w:tc>
          <w:tcPr>
            <w:tcW w:type="dxa" w:w="2016"/>
            <w:vAlign w:val="top"/>
          </w:tcPr>
          <w:p>
            <w:pPr>
              <w:spacing w:after="20"/>
            </w:pPr>
            <w:r>
              <w:rPr>
                <w:sz w:val="16"/>
              </w:rPr>
              <w:t>OpenTelemetry + Prometheus + Langfuse</w:t>
            </w:r>
          </w:p>
        </w:tc>
        <w:tc>
          <w:tcPr>
            <w:tcW w:type="dxa" w:w="2016"/>
            <w:vAlign w:val="top"/>
          </w:tcPr>
          <w:p>
            <w:pPr>
              <w:spacing w:after="20"/>
            </w:pPr>
            <w:r>
              <w:rPr>
                <w:sz w:val="16"/>
              </w:rPr>
              <w:t>Integrate</w:t>
            </w:r>
          </w:p>
        </w:tc>
        <w:tc>
          <w:tcPr>
            <w:tcW w:type="dxa" w:w="4032"/>
            <w:vAlign w:val="top"/>
          </w:tcPr>
          <w:p>
            <w:pPr>
              <w:spacing w:after="20"/>
            </w:pPr>
            <w:r>
              <w:rPr>
                <w:sz w:val="16"/>
              </w:rPr>
              <w:t>Audit remains independent.</w:t>
            </w:r>
          </w:p>
        </w:tc>
      </w:tr>
      <w:tr>
        <w:trPr>
          <w:cantSplit/>
        </w:trPr>
        <w:tc>
          <w:tcPr>
            <w:tcW w:type="dxa" w:w="2016"/>
            <w:vAlign w:val="top"/>
          </w:tcPr>
          <w:p>
            <w:pPr>
              <w:spacing w:after="20"/>
            </w:pPr>
            <w:r>
              <w:rPr>
                <w:sz w:val="16"/>
              </w:rPr>
              <w:t>Evaluation</w:t>
            </w:r>
          </w:p>
        </w:tc>
        <w:tc>
          <w:tcPr>
            <w:tcW w:type="dxa" w:w="2016"/>
            <w:vAlign w:val="top"/>
          </w:tcPr>
          <w:p>
            <w:pPr>
              <w:spacing w:after="20"/>
            </w:pPr>
            <w:r>
              <w:rPr>
                <w:sz w:val="16"/>
              </w:rPr>
              <w:t>Promptfoo + MLflow</w:t>
            </w:r>
          </w:p>
        </w:tc>
        <w:tc>
          <w:tcPr>
            <w:tcW w:type="dxa" w:w="2016"/>
            <w:vAlign w:val="top"/>
          </w:tcPr>
          <w:p>
            <w:pPr>
              <w:spacing w:after="20"/>
            </w:pPr>
            <w:r>
              <w:rPr>
                <w:sz w:val="16"/>
              </w:rPr>
              <w:t>Integrate</w:t>
            </w:r>
          </w:p>
        </w:tc>
        <w:tc>
          <w:tcPr>
            <w:tcW w:type="dxa" w:w="4032"/>
            <w:vAlign w:val="top"/>
          </w:tcPr>
          <w:p>
            <w:pPr>
              <w:spacing w:after="20"/>
            </w:pPr>
            <w:r>
              <w:rPr>
                <w:sz w:val="16"/>
              </w:rPr>
              <w:t>Add Freya hardware/capability benchmarks and prompt-injection corpus.</w:t>
            </w:r>
          </w:p>
        </w:tc>
      </w:tr>
      <w:tr>
        <w:trPr>
          <w:cantSplit/>
        </w:trPr>
        <w:tc>
          <w:tcPr>
            <w:tcW w:type="dxa" w:w="2016"/>
            <w:vAlign w:val="top"/>
          </w:tcPr>
          <w:p>
            <w:pPr>
              <w:spacing w:after="20"/>
            </w:pPr>
            <w:r>
              <w:rPr>
                <w:sz w:val="16"/>
              </w:rPr>
              <w:t>Isolation</w:t>
            </w:r>
          </w:p>
        </w:tc>
        <w:tc>
          <w:tcPr>
            <w:tcW w:type="dxa" w:w="2016"/>
            <w:vAlign w:val="top"/>
          </w:tcPr>
          <w:p>
            <w:pPr>
              <w:spacing w:after="20"/>
            </w:pPr>
            <w:r>
              <w:rPr>
                <w:sz w:val="16"/>
              </w:rPr>
              <w:t>gVisor / Kata / VM</w:t>
            </w:r>
          </w:p>
        </w:tc>
        <w:tc>
          <w:tcPr>
            <w:tcW w:type="dxa" w:w="2016"/>
            <w:vAlign w:val="top"/>
          </w:tcPr>
          <w:p>
            <w:pPr>
              <w:spacing w:after="20"/>
            </w:pPr>
            <w:r>
              <w:rPr>
                <w:sz w:val="16"/>
              </w:rPr>
              <w:t>Provider candidates (Linux nodes, Tier 2)</w:t>
            </w:r>
          </w:p>
        </w:tc>
        <w:tc>
          <w:tcPr>
            <w:tcW w:type="dxa" w:w="4032"/>
            <w:vAlign w:val="top"/>
          </w:tcPr>
          <w:p>
            <w:pPr>
              <w:spacing w:after="20"/>
            </w:pPr>
            <w:r>
              <w:rPr>
                <w:sz w:val="16"/>
              </w:rPr>
              <w:t>Risk-tiered execution.</w:t>
            </w:r>
          </w:p>
        </w:tc>
      </w:tr>
      <w:tr>
        <w:trPr>
          <w:cantSplit/>
        </w:trPr>
        <w:tc>
          <w:tcPr>
            <w:tcW w:type="dxa" w:w="2016"/>
            <w:vAlign w:val="top"/>
          </w:tcPr>
          <w:p>
            <w:pPr>
              <w:spacing w:after="20"/>
            </w:pPr>
            <w:r>
              <w:rPr>
                <w:sz w:val="16"/>
              </w:rPr>
              <w:t>Supply chain</w:t>
            </w:r>
          </w:p>
        </w:tc>
        <w:tc>
          <w:tcPr>
            <w:tcW w:type="dxa" w:w="2016"/>
            <w:vAlign w:val="top"/>
          </w:tcPr>
          <w:p>
            <w:pPr>
              <w:spacing w:after="20"/>
            </w:pPr>
            <w:r>
              <w:rPr>
                <w:sz w:val="16"/>
              </w:rPr>
              <w:t>Sigstore + in-toto + TUF</w:t>
            </w:r>
          </w:p>
        </w:tc>
        <w:tc>
          <w:tcPr>
            <w:tcW w:type="dxa" w:w="2016"/>
            <w:vAlign w:val="top"/>
          </w:tcPr>
          <w:p>
            <w:pPr>
              <w:spacing w:after="20"/>
            </w:pPr>
            <w:r>
              <w:rPr>
                <w:sz w:val="16"/>
              </w:rPr>
              <w:t>Integrate/pattern (post-v1)</w:t>
            </w:r>
          </w:p>
        </w:tc>
        <w:tc>
          <w:tcPr>
            <w:tcW w:type="dxa" w:w="4032"/>
            <w:vAlign w:val="top"/>
          </w:tcPr>
          <w:p>
            <w:pPr>
              <w:spacing w:after="20"/>
            </w:pPr>
            <w:r>
              <w:rPr>
                <w:sz w:val="16"/>
              </w:rPr>
              <w:t>Signing, provenance, secure updates.</w:t>
            </w:r>
          </w:p>
        </w:tc>
      </w:tr>
      <w:tr>
        <w:trPr>
          <w:cantSplit/>
        </w:trPr>
        <w:tc>
          <w:tcPr>
            <w:tcW w:type="dxa" w:w="2016"/>
            <w:vAlign w:val="top"/>
          </w:tcPr>
          <w:p>
            <w:pPr>
              <w:spacing w:after="20"/>
            </w:pPr>
            <w:r>
              <w:rPr>
                <w:sz w:val="16"/>
              </w:rPr>
              <w:t>Backup</w:t>
            </w:r>
          </w:p>
        </w:tc>
        <w:tc>
          <w:tcPr>
            <w:tcW w:type="dxa" w:w="2016"/>
            <w:vAlign w:val="top"/>
          </w:tcPr>
          <w:p>
            <w:pPr>
              <w:spacing w:after="20"/>
            </w:pPr>
            <w:r>
              <w:rPr>
                <w:sz w:val="16"/>
              </w:rPr>
              <w:t>Kopia/restic; Velero later</w:t>
            </w:r>
          </w:p>
        </w:tc>
        <w:tc>
          <w:tcPr>
            <w:tcW w:type="dxa" w:w="2016"/>
            <w:vAlign w:val="top"/>
          </w:tcPr>
          <w:p>
            <w:pPr>
              <w:spacing w:after="20"/>
            </w:pPr>
            <w:r>
              <w:rPr>
                <w:sz w:val="16"/>
              </w:rPr>
              <w:t>Integrate</w:t>
            </w:r>
          </w:p>
        </w:tc>
        <w:tc>
          <w:tcPr>
            <w:tcW w:type="dxa" w:w="4032"/>
            <w:vAlign w:val="top"/>
          </w:tcPr>
          <w:p>
            <w:pPr>
              <w:spacing w:after="20"/>
            </w:pPr>
            <w:r>
              <w:rPr>
                <w:sz w:val="16"/>
              </w:rPr>
              <w:t>Resource-specific providers.</w:t>
            </w:r>
          </w:p>
        </w:tc>
      </w:tr>
      <w:tr>
        <w:trPr>
          <w:cantSplit/>
        </w:trPr>
        <w:tc>
          <w:tcPr>
            <w:tcW w:type="dxa" w:w="2016"/>
            <w:vAlign w:val="top"/>
          </w:tcPr>
          <w:p>
            <w:pPr>
              <w:spacing w:after="20"/>
            </w:pPr>
            <w:r>
              <w:rPr>
                <w:sz w:val="16"/>
              </w:rPr>
              <w:t>MCP discovery</w:t>
            </w:r>
          </w:p>
        </w:tc>
        <w:tc>
          <w:tcPr>
            <w:tcW w:type="dxa" w:w="2016"/>
            <w:vAlign w:val="top"/>
          </w:tcPr>
          <w:p>
            <w:pPr>
              <w:spacing w:after="20"/>
            </w:pPr>
            <w:r>
              <w:rPr>
                <w:sz w:val="16"/>
              </w:rPr>
              <w:t>Official MCP Registry</w:t>
            </w:r>
          </w:p>
        </w:tc>
        <w:tc>
          <w:tcPr>
            <w:tcW w:type="dxa" w:w="2016"/>
            <w:vAlign w:val="top"/>
          </w:tcPr>
          <w:p>
            <w:pPr>
              <w:spacing w:after="20"/>
            </w:pPr>
            <w:r>
              <w:rPr>
                <w:sz w:val="16"/>
              </w:rPr>
              <w:t>Discovery source</w:t>
            </w:r>
          </w:p>
        </w:tc>
        <w:tc>
          <w:tcPr>
            <w:tcW w:type="dxa" w:w="4032"/>
            <w:vAlign w:val="top"/>
          </w:tcPr>
          <w:p>
            <w:pPr>
              <w:spacing w:after="20"/>
            </w:pPr>
            <w:r>
              <w:rPr>
                <w:sz w:val="16"/>
              </w:rPr>
              <w:t>Freya maintains vetted approval overlay with pinned definitions.</w:t>
            </w:r>
          </w:p>
        </w:tc>
      </w:tr>
    </w:tbl>
    <w:p/>
    <w:p>
      <w:pPr>
        <w:pStyle w:val="Heading1"/>
      </w:pPr>
      <w:r>
        <w:t>24. Minimum Contract Sketches</w:t>
      </w:r>
    </w:p>
    <w:p>
      <w:pPr>
        <w:pStyle w:val="CodeBlock"/>
      </w:pPr>
      <w:r>
        <w:t>interface Provider:</w:t>
        <w:br/>
        <w:t xml:space="preserve">  manifest() -&gt; ProviderManifest</w:t>
        <w:br/>
        <w:t xml:space="preserve">  capabilities() -&gt; list[CapabilityDescriptor]</w:t>
        <w:br/>
        <w:t xml:space="preserve">  start() -&gt; ProviderState</w:t>
        <w:br/>
        <w:t xml:space="preserve">  stop() -&gt; ProviderState</w:t>
        <w:br/>
        <w:t xml:space="preserve">  health() -&gt; HealthReport</w:t>
        <w:br/>
        <w:t xml:space="preserve">  resource_requirements() -&gt; ResourceRequirement</w:t>
        <w:br/>
        <w:t xml:space="preserve">  permissions_required() -&gt; PermissionSet</w:t>
        <w:br/>
        <w:t/>
        <w:br/>
        <w:t xml:space="preserve">interface CapabilityBroker:                                   [changed v1.1]</w:t>
        <w:br/>
        <w:t xml:space="preserve">  discover(principal) -&gt; list[CapabilityDescriptor]</w:t>
        <w:br/>
        <w:t xml:space="preserve">  preview(delegation_handle, capability, input) -&gt; PolicyPreview      # non-binding</w:t>
        <w:br/>
        <w:t xml:space="preserve">  invoke(delegation_handle, capability, input, idempotency_key)</w:t>
        <w:br/>
        <w:t xml:space="preserve">      -&gt; CapabilityResult | ApprovalPending | OutcomeUnknown</w:t>
        <w:br/>
        <w:t xml:space="preserve">  cancel(invocation_id) -&gt; CancellationResult</w:t>
        <w:br/>
        <w:t/>
        <w:br/>
        <w:t xml:space="preserve">interface DelegationService:                                  [new v1.1]</w:t>
        <w:br/>
        <w:t xml:space="preserve">  create(principal, client, task, grants, budget, ttl) -&gt; DelegationHandle</w:t>
        <w:br/>
        <w:t xml:space="preserve">  attenuate(handle, grant_subset) -&gt; DelegationHandle</w:t>
        <w:br/>
        <w:t xml:space="preserve">  renew(handle) -&gt; Expiry</w:t>
        <w:br/>
        <w:t xml:space="preserve">  revoke(handle) -&gt; Result</w:t>
        <w:br/>
        <w:t/>
        <w:br/>
        <w:t xml:space="preserve">interface ApprovalService:                                    [new v1.1]</w:t>
        <w:br/>
        <w:t xml:space="preserve">  request(delegation_handle, capability, args_digest, summary,</w:t>
        <w:br/>
        <w:t xml:space="preserve">          risk_class, egress_summary, rationale, expiry) -&gt; ApprovalRequest</w:t>
        <w:br/>
        <w:t xml:space="preserve">  respond(session, approval_id, decision) -&gt; Result</w:t>
        <w:br/>
        <w:t/>
        <w:br/>
        <w:t>interface PolicyEngineProvider:</w:t>
        <w:br/>
        <w:t xml:space="preserve">  decide(subject, action, resource, environment) -&gt; PolicyDecision</w:t>
        <w:br/>
        <w:t/>
        <w:br/>
        <w:t xml:space="preserve">interface AgentRuntimeProvider:                               [changed v1.1]</w:t>
        <w:br/>
        <w:t xml:space="preserve">  execute(task, context_handle, delegation_handle,</w:t>
        <w:br/>
        <w:t xml:space="preserve">          tool_endpoint, model_endpoint, budget) -&gt; AgentTask</w:t>
        <w:br/>
        <w:t xml:space="preserve">  status(task_id) -&gt; TaskStatus</w:t>
        <w:br/>
        <w:t xml:space="preserve">  cancel(task_id) -&gt; CancellationResult</w:t>
        <w:br/>
        <w:t/>
        <w:br/>
        <w:t>interface ModelRuntimeProvider:</w:t>
        <w:br/>
        <w:t xml:space="preserve">  load(model_ref, placement) -&gt; ModelInstance</w:t>
        <w:br/>
        <w:t xml:space="preserve">  generate(instance, request) -&gt; ModelResult</w:t>
        <w:br/>
        <w:t xml:space="preserve">  drain(instance) -&gt; DrainResult</w:t>
        <w:br/>
        <w:t xml:space="preserve">  unload(instance) -&gt; UnloadResult</w:t>
        <w:br/>
        <w:t/>
        <w:br/>
        <w:t>interface IsolationProvider:</w:t>
        <w:br/>
        <w:t xml:space="preserve">  create(profile, mounts, network_policy, resource_limits) -&gt; Sandbox</w:t>
        <w:br/>
        <w:t xml:space="preserve">  execute(sandbox, workload) -&gt; ExecutionResult</w:t>
        <w:br/>
        <w:t xml:space="preserve">  destroy(sandbox) -&gt; Result</w:t>
        <w:br/>
        <w:t/>
        <w:br/>
        <w:t xml:space="preserve">interface ClientGateway:                                      [changed v1.1]</w:t>
        <w:br/>
        <w:t xml:space="preserve">  authenticate(client, user_credentials) -&gt; Session</w:t>
        <w:br/>
        <w:t xml:space="preserve">  discover_capabilities(session) -&gt; CapabilityView</w:t>
        <w:br/>
        <w:t xml:space="preserve">  subscribe(session, topics) -&gt; EventStream      # includes approval and task events</w:t>
        <w:br/>
        <w:t xml:space="preserve">  invoke(session, capability, input) -&gt; TaskHandle</w:t>
        <w:br/>
        <w:t xml:space="preserve">  respond_approval(session, approval_id, decision) -&gt; Result</w:t>
        <w:br/>
        <w:t xml:space="preserve">  revoke_task(session, task_id) -&gt; Result</w:t>
      </w:r>
    </w:p>
    <w:p>
      <w:pPr>
        <w:pStyle w:val="Heading1"/>
      </w:pPr>
      <w:r>
        <w:t>25. Foundation v1 Architecture Freeze Gates</w:t>
      </w:r>
    </w:p>
    <w:p>
      <w:pPr>
        <w:pStyle w:val="ListBullet"/>
      </w:pPr>
      <w:r>
        <w:t>Claude Code and Codex independently review the exact same frozen document.</w:t>
      </w:r>
    </w:p>
    <w:p>
      <w:pPr>
        <w:pStyle w:val="ListBullet"/>
      </w:pPr>
      <w:r>
        <w:t>Reviews explicitly search for hidden coupling, security bypasses, overengineering, missing failure semantics, infeasible Windows assumptions, licensing/commercial risks, and unnecessary custom infrastructure.</w:t>
      </w:r>
    </w:p>
    <w:p>
      <w:pPr>
        <w:pStyle w:val="ListBullet"/>
      </w:pPr>
      <w:r>
        <w:t>Conflicting review findings are reconciled into ADRs rather than silently accepted.</w:t>
      </w:r>
    </w:p>
    <w:p>
      <w:pPr>
        <w:pStyle w:val="ListBullet"/>
      </w:pPr>
      <w:r>
        <w:t>Critical/high security findings are resolved or explicitly risk-accepted before implementation proceeds.</w:t>
      </w:r>
    </w:p>
    <w:p>
      <w:pPr>
        <w:pStyle w:val="ListBullet"/>
      </w:pPr>
      <w:r>
        <w:t>Provider/capability/security contracts are stable enough that first implementation does not require redesign when the second provider is added.</w:t>
      </w:r>
    </w:p>
    <w:p>
      <w:pPr>
        <w:pStyle w:val="ListBullet"/>
      </w:pPr>
      <w:r>
        <w:t>A second-node thought experiment demonstrates no Core redesign is required.</w:t>
      </w:r>
    </w:p>
    <w:p>
      <w:pPr>
        <w:pStyle w:val="ListBullet"/>
      </w:pPr>
      <w:r>
        <w:t>A custom-GUI thought experiment demonstrates no Core modification is required to add a new authorized client.</w:t>
      </w:r>
    </w:p>
    <w:p>
      <w:pPr>
        <w:pStyle w:val="ListBullet"/>
      </w:pPr>
      <w:r>
        <w:t>A prompt-injection walkthrough demonstrates that a malicious document read by the reference runtime cannot cause egress, destruction, or code execution without an approval that shows the exact action.</w:t>
      </w:r>
      <w:r>
        <w:rPr>
          <w:i/>
          <w:color w:val="7F7F7F"/>
          <w:sz w:val="16"/>
        </w:rPr>
        <w:t xml:space="preserve"> [new v1.1]</w:t>
      </w:r>
    </w:p>
    <w:p>
      <w:pPr>
        <w:pStyle w:val="ListBullet"/>
      </w:pPr>
      <w:r>
        <w:t>A second-runtime thought experiment demonstrates that a third-party agent framework can be admitted under §11.1 without Core changes.</w:t>
      </w:r>
      <w:r>
        <w:rPr>
          <w:i/>
          <w:color w:val="7F7F7F"/>
          <w:sz w:val="16"/>
        </w:rPr>
        <w:t xml:space="preserve"> [new v1.1]</w:t>
      </w:r>
    </w:p>
    <w:p>
      <w:pPr>
        <w:pStyle w:val="Heading1"/>
      </w:pPr>
      <w:r>
        <w:t>26. Ready-to-Use External Review Brief</w:t>
      </w:r>
    </w:p>
    <w:p>
      <w:r>
        <w:t>Give the following instructions to Claude Code and Codex with this document. Do not give either reviewer the other review until both are complete.</w:t>
      </w:r>
    </w:p>
    <w:p>
      <w:pPr>
        <w:pStyle w:val="CodeBlock"/>
      </w:pPr>
      <w:r>
        <w:t>You are performing an adversarial architecture review of "Freya Foundation v1.1 -</w:t>
        <w:br/>
        <w:t>System Architecture &amp; Design Specification." Appendix B lists the changes made since</w:t>
        <w:br/>
        <w:t>v1 in response to a prior review; verify those changes actually close the findings</w:t>
        <w:br/>
        <w:t>they claim to, and look for problems they introduce.</w:t>
        <w:br/>
        <w:t/>
        <w:br/>
        <w:t>Do NOT implement the system yet and do NOT merely summarize or praise the design.</w:t>
        <w:br/>
        <w:t/>
        <w:br/>
        <w:t>Act as a senior distributed-systems, AI-platform, application-security, local-first,</w:t>
        <w:br/>
        <w:t>and infrastructure engineer. Treat the normative MUST/SHOULD/MAY requirements as</w:t>
        <w:br/>
        <w:t>the proposed contract.</w:t>
        <w:br/>
        <w:t/>
        <w:br/>
        <w:t>Review the design for:</w:t>
        <w:br/>
        <w:t/>
        <w:br/>
        <w:t>1. Contradictory or ambiguous requirements.</w:t>
        <w:br/>
        <w:t>2. Hidden coupling or components that are not actually replaceable.</w:t>
        <w:br/>
        <w:t>3. Security boundary failures, confused-deputy risks, prompt injection, privilege</w:t>
        <w:br/>
        <w:t xml:space="preserve">   escalation, secret leakage, unsafe agent execution, and federation/sovereignty flaws.</w:t>
        <w:br/>
        <w:t>4. Multi-user isolation failures.</w:t>
        <w:br/>
        <w:t>5. Problems with the capability/provider abstraction.</w:t>
        <w:br/>
        <w:t>6. Context/memory/knowledge authorization weaknesses.</w:t>
        <w:br/>
        <w:t>7. Resource/VRAM scheduling race conditions and failure modes.</w:t>
        <w:br/>
        <w:t>8. Durable-workflow, cancellation, retry, idempotency, and recovery gaps.</w:t>
        <w:br/>
        <w:t>9. Distributed-systems problems: partitions, stale state, split brain,</w:t>
        <w:br/>
        <w:t xml:space="preserve">   duplicate execution, clock assumptions, node loss, and consistency.</w:t>
        <w:br/>
        <w:t>10. GUI/client API security and compatibility problems.</w:t>
        <w:br/>
        <w:t>11. Windows-first feasibility problems and Linux/rack migration problems.</w:t>
        <w:br/>
        <w:t>12. Overengineering: identify components/contracts that should be removed or delayed.</w:t>
        <w:br/>
        <w:t>13. Underengineering: identify missing contracts that would force a redesign later.</w:t>
        <w:br/>
        <w:t>14. Existing open-source systems that could replace anything proposed as custom code.</w:t>
        <w:br/>
        <w:t>15. Licensing/commercialization risks.</w:t>
        <w:br/>
        <w:t>16. Observability, testing, update, backup, and disaster-recovery gaps.</w:t>
        <w:br/>
        <w:t>17. Requirements that cannot be objectively tested.</w:t>
        <w:br/>
        <w:t/>
        <w:br/>
        <w:t>For every finding provide:</w:t>
        <w:br/>
        <w:t>- Severity: Critical / High / Medium / Low / Observation</w:t>
        <w:br/>
        <w:t>- Requirement/component affected</w:t>
        <w:br/>
        <w:t>- Why it is a problem</w:t>
        <w:br/>
        <w:t>- Concrete failure scenario</w:t>
        <w:br/>
        <w:t>- Recommended correction</w:t>
        <w:br/>
        <w:t>- Whether correction is required before Foundation v1 implementation</w:t>
        <w:br/>
        <w:t/>
        <w:br/>
        <w:t>Then provide:</w:t>
        <w:br/>
        <w:t>A. Top 10 architecture risks.</w:t>
        <w:br/>
        <w:t>B. Requirements you recommend adding/changing/removing.</w:t>
        <w:br/>
        <w:t>C. Components that should remain Freya-owned.</w:t>
        <w:br/>
        <w:t>D. Components that should be delegated to existing infrastructure.</w:t>
        <w:br/>
        <w:t>E. A proposed implementation sequence for the first single-workstation alpha.</w:t>
        <w:br/>
        <w:t>F. A final verdict: APPROVE, APPROVE WITH REQUIRED CHANGES, or REJECT.</w:t>
        <w:br/>
        <w:t/>
        <w:br/>
        <w:t>Be skeptical. Challenge assumptions. Prefer specific counterexamples and testable</w:t>
        <w:br/>
        <w:t>recommendations over general advice.</w:t>
      </w:r>
    </w:p>
    <w:p>
      <w:pPr>
        <w:pStyle w:val="Heading1"/>
      </w:pPr>
      <w:r>
        <w:t>27. Research Basis and Selected Primary Sources</w:t>
      </w:r>
    </w:p>
    <w:p>
      <w:r>
        <w:t>This specification consolidates prior architecture research. The following primary project/documentation sources are especially relevant to the Foundation decisions; candidate selection remains non-binding until implementation ADRs.</w:t>
      </w:r>
    </w:p>
    <w:tbl>
      <w:tblPr>
        <w:tblStyle w:val="TableGrid"/>
        <w:tblW w:type="auto" w:w="0"/>
        <w:jc w:val="center"/>
        <w:tblLook w:firstColumn="1" w:firstRow="1" w:lastColumn="0" w:lastRow="0" w:noHBand="0" w:noVBand="1" w:val="04A0"/>
      </w:tblPr>
      <w:tblGrid>
        <w:gridCol w:w="2016"/>
        <w:gridCol w:w="4536"/>
        <w:gridCol w:w="3528"/>
      </w:tblGrid>
      <w:tr>
        <w:trPr>
          <w:tblHeader w:val="true"/>
        </w:trPr>
        <w:tc>
          <w:tcPr>
            <w:tcW w:type="dxa" w:w="2016"/>
            <w:shd w:fill="D9EAF7"/>
            <w:vAlign w:val="center"/>
          </w:tcPr>
          <w:p>
            <w:r>
              <w:rPr>
                <w:b/>
                <w:sz w:val="17"/>
              </w:rPr>
              <w:t>Source</w:t>
            </w:r>
          </w:p>
        </w:tc>
        <w:tc>
          <w:tcPr>
            <w:tcW w:type="dxa" w:w="4536"/>
            <w:shd w:fill="D9EAF7"/>
            <w:vAlign w:val="center"/>
          </w:tcPr>
          <w:p>
            <w:r>
              <w:rPr>
                <w:b/>
                <w:sz w:val="17"/>
              </w:rPr>
              <w:t>URL</w:t>
            </w:r>
          </w:p>
        </w:tc>
        <w:tc>
          <w:tcPr>
            <w:tcW w:type="dxa" w:w="3528"/>
            <w:shd w:fill="D9EAF7"/>
            <w:vAlign w:val="center"/>
          </w:tcPr>
          <w:p>
            <w:r>
              <w:rPr>
                <w:b/>
                <w:sz w:val="17"/>
              </w:rPr>
              <w:t>Relevance</w:t>
            </w:r>
          </w:p>
        </w:tc>
      </w:tr>
      <w:tr>
        <w:trPr>
          <w:cantSplit/>
        </w:trPr>
        <w:tc>
          <w:tcPr>
            <w:tcW w:type="dxa" w:w="2016"/>
            <w:vAlign w:val="top"/>
          </w:tcPr>
          <w:p>
            <w:pPr>
              <w:spacing w:after="20"/>
            </w:pPr>
            <w:r>
              <w:rPr>
                <w:sz w:val="16"/>
              </w:rPr>
              <w:t>NVIDIA Dynamo</w:t>
            </w:r>
          </w:p>
        </w:tc>
        <w:tc>
          <w:tcPr>
            <w:tcW w:type="dxa" w:w="4536"/>
            <w:vAlign w:val="top"/>
          </w:tcPr>
          <w:p>
            <w:pPr>
              <w:spacing w:after="20"/>
            </w:pPr>
            <w:r>
              <w:rPr>
                <w:sz w:val="16"/>
              </w:rPr>
              <w:t>https://docs.nvidia.com/dynamo/</w:t>
            </w:r>
          </w:p>
        </w:tc>
        <w:tc>
          <w:tcPr>
            <w:tcW w:type="dxa" w:w="3528"/>
            <w:vAlign w:val="top"/>
          </w:tcPr>
          <w:p>
            <w:pPr>
              <w:spacing w:after="20"/>
            </w:pPr>
            <w:r>
              <w:rPr>
                <w:sz w:val="16"/>
              </w:rPr>
              <w:t>Distributed inference, engine interoperability, multi-accelerator/infrastructure options.</w:t>
            </w:r>
          </w:p>
        </w:tc>
      </w:tr>
      <w:tr>
        <w:trPr>
          <w:cantSplit/>
        </w:trPr>
        <w:tc>
          <w:tcPr>
            <w:tcW w:type="dxa" w:w="2016"/>
            <w:vAlign w:val="top"/>
          </w:tcPr>
          <w:p>
            <w:pPr>
              <w:spacing w:after="20"/>
            </w:pPr>
            <w:r>
              <w:rPr>
                <w:sz w:val="16"/>
              </w:rPr>
              <w:t>Temporal</w:t>
            </w:r>
          </w:p>
        </w:tc>
        <w:tc>
          <w:tcPr>
            <w:tcW w:type="dxa" w:w="4536"/>
            <w:vAlign w:val="top"/>
          </w:tcPr>
          <w:p>
            <w:pPr>
              <w:spacing w:after="20"/>
            </w:pPr>
            <w:r>
              <w:rPr>
                <w:sz w:val="16"/>
              </w:rPr>
              <w:t>https://docs.temporal.io/temporal</w:t>
            </w:r>
          </w:p>
        </w:tc>
        <w:tc>
          <w:tcPr>
            <w:tcW w:type="dxa" w:w="3528"/>
            <w:vAlign w:val="top"/>
          </w:tcPr>
          <w:p>
            <w:pPr>
              <w:spacing w:after="20"/>
            </w:pPr>
            <w:r>
              <w:rPr>
                <w:sz w:val="16"/>
              </w:rPr>
              <w:t>Durable workflow execution and failure recovery.</w:t>
            </w:r>
          </w:p>
        </w:tc>
      </w:tr>
      <w:tr>
        <w:trPr>
          <w:cantSplit/>
        </w:trPr>
        <w:tc>
          <w:tcPr>
            <w:tcW w:type="dxa" w:w="2016"/>
            <w:vAlign w:val="top"/>
          </w:tcPr>
          <w:p>
            <w:pPr>
              <w:spacing w:after="20"/>
            </w:pPr>
            <w:r>
              <w:rPr>
                <w:sz w:val="16"/>
              </w:rPr>
              <w:t>SPIFFE Federation</w:t>
            </w:r>
          </w:p>
        </w:tc>
        <w:tc>
          <w:tcPr>
            <w:tcW w:type="dxa" w:w="4536"/>
            <w:vAlign w:val="top"/>
          </w:tcPr>
          <w:p>
            <w:pPr>
              <w:spacing w:after="20"/>
            </w:pPr>
            <w:r>
              <w:rPr>
                <w:sz w:val="16"/>
              </w:rPr>
              <w:t>https://spiffe.io/docs/latest/spiffe-specs/spiffe_federation/</w:t>
            </w:r>
          </w:p>
        </w:tc>
        <w:tc>
          <w:tcPr>
            <w:tcW w:type="dxa" w:w="3528"/>
            <w:vAlign w:val="top"/>
          </w:tcPr>
          <w:p>
            <w:pPr>
              <w:spacing w:after="20"/>
            </w:pPr>
            <w:r>
              <w:rPr>
                <w:sz w:val="16"/>
              </w:rPr>
              <w:t>Independent trust domains and federation.</w:t>
            </w:r>
          </w:p>
        </w:tc>
      </w:tr>
      <w:tr>
        <w:trPr>
          <w:cantSplit/>
        </w:trPr>
        <w:tc>
          <w:tcPr>
            <w:tcW w:type="dxa" w:w="2016"/>
            <w:vAlign w:val="top"/>
          </w:tcPr>
          <w:p>
            <w:pPr>
              <w:spacing w:after="20"/>
            </w:pPr>
            <w:r>
              <w:rPr>
                <w:sz w:val="16"/>
              </w:rPr>
              <w:t>SPIFFE Trust Domain</w:t>
            </w:r>
          </w:p>
        </w:tc>
        <w:tc>
          <w:tcPr>
            <w:tcW w:type="dxa" w:w="4536"/>
            <w:vAlign w:val="top"/>
          </w:tcPr>
          <w:p>
            <w:pPr>
              <w:spacing w:after="20"/>
            </w:pPr>
            <w:r>
              <w:rPr>
                <w:sz w:val="16"/>
              </w:rPr>
              <w:t>https://spiffe.io/docs/latest/spiffe-specs/spiffe_trust_domain_and_bundle/</w:t>
            </w:r>
          </w:p>
        </w:tc>
        <w:tc>
          <w:tcPr>
            <w:tcW w:type="dxa" w:w="3528"/>
            <w:vAlign w:val="top"/>
          </w:tcPr>
          <w:p>
            <w:pPr>
              <w:spacing w:after="20"/>
            </w:pPr>
            <w:r>
              <w:rPr>
                <w:sz w:val="16"/>
              </w:rPr>
              <w:t>Trust-domain identity boundary semantics.</w:t>
            </w:r>
          </w:p>
        </w:tc>
      </w:tr>
      <w:tr>
        <w:trPr>
          <w:cantSplit/>
        </w:trPr>
        <w:tc>
          <w:tcPr>
            <w:tcW w:type="dxa" w:w="2016"/>
            <w:vAlign w:val="top"/>
          </w:tcPr>
          <w:p>
            <w:pPr>
              <w:spacing w:after="20"/>
            </w:pPr>
            <w:r>
              <w:rPr>
                <w:sz w:val="16"/>
              </w:rPr>
              <w:t>Open Policy Agent</w:t>
            </w:r>
          </w:p>
        </w:tc>
        <w:tc>
          <w:tcPr>
            <w:tcW w:type="dxa" w:w="4536"/>
            <w:vAlign w:val="top"/>
          </w:tcPr>
          <w:p>
            <w:pPr>
              <w:spacing w:after="20"/>
            </w:pPr>
            <w:r>
              <w:rPr>
                <w:sz w:val="16"/>
              </w:rPr>
              <w:t>https://www.openpolicyagent.org/docs</w:t>
            </w:r>
          </w:p>
        </w:tc>
        <w:tc>
          <w:tcPr>
            <w:tcW w:type="dxa" w:w="3528"/>
            <w:vAlign w:val="top"/>
          </w:tcPr>
          <w:p>
            <w:pPr>
              <w:spacing w:after="20"/>
            </w:pPr>
            <w:r>
              <w:rPr>
                <w:sz w:val="16"/>
              </w:rPr>
              <w:t>Policy decision/enforcement separation.</w:t>
            </w:r>
          </w:p>
        </w:tc>
      </w:tr>
      <w:tr>
        <w:trPr>
          <w:cantSplit/>
        </w:trPr>
        <w:tc>
          <w:tcPr>
            <w:tcW w:type="dxa" w:w="2016"/>
            <w:vAlign w:val="top"/>
          </w:tcPr>
          <w:p>
            <w:pPr>
              <w:spacing w:after="20"/>
            </w:pPr>
            <w:r>
              <w:rPr>
                <w:sz w:val="16"/>
              </w:rPr>
              <w:t>MLflow Model Registry</w:t>
            </w:r>
          </w:p>
        </w:tc>
        <w:tc>
          <w:tcPr>
            <w:tcW w:type="dxa" w:w="4536"/>
            <w:vAlign w:val="top"/>
          </w:tcPr>
          <w:p>
            <w:pPr>
              <w:spacing w:after="20"/>
            </w:pPr>
            <w:r>
              <w:rPr>
                <w:sz w:val="16"/>
              </w:rPr>
              <w:t>https://mlflow.org/docs/latest/model-registry/</w:t>
            </w:r>
          </w:p>
        </w:tc>
        <w:tc>
          <w:tcPr>
            <w:tcW w:type="dxa" w:w="3528"/>
            <w:vAlign w:val="top"/>
          </w:tcPr>
          <w:p>
            <w:pPr>
              <w:spacing w:after="20"/>
            </w:pPr>
            <w:r>
              <w:rPr>
                <w:sz w:val="16"/>
              </w:rPr>
              <w:t>Model versions, aliases, metadata, lineage/lifecycle.</w:t>
            </w:r>
          </w:p>
        </w:tc>
      </w:tr>
      <w:tr>
        <w:trPr>
          <w:cantSplit/>
        </w:trPr>
        <w:tc>
          <w:tcPr>
            <w:tcW w:type="dxa" w:w="2016"/>
            <w:vAlign w:val="top"/>
          </w:tcPr>
          <w:p>
            <w:pPr>
              <w:spacing w:after="20"/>
            </w:pPr>
            <w:r>
              <w:rPr>
                <w:sz w:val="16"/>
              </w:rPr>
              <w:t>LiteLLM</w:t>
            </w:r>
          </w:p>
        </w:tc>
        <w:tc>
          <w:tcPr>
            <w:tcW w:type="dxa" w:w="4536"/>
            <w:vAlign w:val="top"/>
          </w:tcPr>
          <w:p>
            <w:pPr>
              <w:spacing w:after="20"/>
            </w:pPr>
            <w:r>
              <w:rPr>
                <w:sz w:val="16"/>
              </w:rPr>
              <w:t>https://docs.litellm.ai/</w:t>
            </w:r>
          </w:p>
        </w:tc>
        <w:tc>
          <w:tcPr>
            <w:tcW w:type="dxa" w:w="3528"/>
            <w:vAlign w:val="top"/>
          </w:tcPr>
          <w:p>
            <w:pPr>
              <w:spacing w:after="20"/>
            </w:pPr>
            <w:r>
              <w:rPr>
                <w:sz w:val="16"/>
              </w:rPr>
              <w:t>Model gateway, routing, fallbacks and provider abstraction.</w:t>
            </w:r>
          </w:p>
        </w:tc>
      </w:tr>
      <w:tr>
        <w:trPr>
          <w:cantSplit/>
        </w:trPr>
        <w:tc>
          <w:tcPr>
            <w:tcW w:type="dxa" w:w="2016"/>
            <w:vAlign w:val="top"/>
          </w:tcPr>
          <w:p>
            <w:pPr>
              <w:spacing w:after="20"/>
            </w:pPr>
            <w:r>
              <w:rPr>
                <w:sz w:val="16"/>
              </w:rPr>
              <w:t>Letta</w:t>
            </w:r>
          </w:p>
        </w:tc>
        <w:tc>
          <w:tcPr>
            <w:tcW w:type="dxa" w:w="4536"/>
            <w:vAlign w:val="top"/>
          </w:tcPr>
          <w:p>
            <w:pPr>
              <w:spacing w:after="20"/>
            </w:pPr>
            <w:r>
              <w:rPr>
                <w:sz w:val="16"/>
              </w:rPr>
              <w:t>https://github.com/letta-ai/letta</w:t>
            </w:r>
          </w:p>
        </w:tc>
        <w:tc>
          <w:tcPr>
            <w:tcW w:type="dxa" w:w="3528"/>
            <w:vAlign w:val="top"/>
          </w:tcPr>
          <w:p>
            <w:pPr>
              <w:spacing w:after="20"/>
            </w:pPr>
            <w:r>
              <w:rPr>
                <w:sz w:val="16"/>
              </w:rPr>
              <w:t>Persistent agent-memory architecture reference.</w:t>
            </w:r>
          </w:p>
        </w:tc>
      </w:tr>
      <w:tr>
        <w:trPr>
          <w:cantSplit/>
        </w:trPr>
        <w:tc>
          <w:tcPr>
            <w:tcW w:type="dxa" w:w="2016"/>
            <w:vAlign w:val="top"/>
          </w:tcPr>
          <w:p>
            <w:pPr>
              <w:spacing w:after="20"/>
            </w:pPr>
            <w:r>
              <w:rPr>
                <w:sz w:val="16"/>
              </w:rPr>
              <w:t>Mem0</w:t>
            </w:r>
          </w:p>
        </w:tc>
        <w:tc>
          <w:tcPr>
            <w:tcW w:type="dxa" w:w="4536"/>
            <w:vAlign w:val="top"/>
          </w:tcPr>
          <w:p>
            <w:pPr>
              <w:spacing w:after="20"/>
            </w:pPr>
            <w:r>
              <w:rPr>
                <w:sz w:val="16"/>
              </w:rPr>
              <w:t>https://github.com/mem0ai/mem0</w:t>
            </w:r>
          </w:p>
        </w:tc>
        <w:tc>
          <w:tcPr>
            <w:tcW w:type="dxa" w:w="3528"/>
            <w:vAlign w:val="top"/>
          </w:tcPr>
          <w:p>
            <w:pPr>
              <w:spacing w:after="20"/>
            </w:pPr>
            <w:r>
              <w:rPr>
                <w:sz w:val="16"/>
              </w:rPr>
              <w:t>Memory extraction/update architecture reference.</w:t>
            </w:r>
          </w:p>
        </w:tc>
      </w:tr>
      <w:tr>
        <w:trPr>
          <w:cantSplit/>
        </w:trPr>
        <w:tc>
          <w:tcPr>
            <w:tcW w:type="dxa" w:w="2016"/>
            <w:vAlign w:val="top"/>
          </w:tcPr>
          <w:p>
            <w:pPr>
              <w:spacing w:after="20"/>
            </w:pPr>
            <w:r>
              <w:rPr>
                <w:sz w:val="16"/>
              </w:rPr>
              <w:t>Qdrant</w:t>
            </w:r>
          </w:p>
        </w:tc>
        <w:tc>
          <w:tcPr>
            <w:tcW w:type="dxa" w:w="4536"/>
            <w:vAlign w:val="top"/>
          </w:tcPr>
          <w:p>
            <w:pPr>
              <w:spacing w:after="20"/>
            </w:pPr>
            <w:r>
              <w:rPr>
                <w:sz w:val="16"/>
              </w:rPr>
              <w:t>https://qdrant.tech/</w:t>
            </w:r>
          </w:p>
        </w:tc>
        <w:tc>
          <w:tcPr>
            <w:tcW w:type="dxa" w:w="3528"/>
            <w:vAlign w:val="top"/>
          </w:tcPr>
          <w:p>
            <w:pPr>
              <w:spacing w:after="20"/>
            </w:pPr>
            <w:r>
              <w:rPr>
                <w:sz w:val="16"/>
              </w:rPr>
              <w:t>Vector retrieval/storage candidate.</w:t>
            </w:r>
          </w:p>
        </w:tc>
      </w:tr>
      <w:tr>
        <w:trPr>
          <w:cantSplit/>
        </w:trPr>
        <w:tc>
          <w:tcPr>
            <w:tcW w:type="dxa" w:w="2016"/>
            <w:vAlign w:val="top"/>
          </w:tcPr>
          <w:p>
            <w:pPr>
              <w:spacing w:after="20"/>
            </w:pPr>
            <w:r>
              <w:rPr>
                <w:sz w:val="16"/>
              </w:rPr>
              <w:t>Docling</w:t>
            </w:r>
          </w:p>
        </w:tc>
        <w:tc>
          <w:tcPr>
            <w:tcW w:type="dxa" w:w="4536"/>
            <w:vAlign w:val="top"/>
          </w:tcPr>
          <w:p>
            <w:pPr>
              <w:spacing w:after="20"/>
            </w:pPr>
            <w:r>
              <w:rPr>
                <w:sz w:val="16"/>
              </w:rPr>
              <w:t>https://github.com/docling-project/docling</w:t>
            </w:r>
          </w:p>
        </w:tc>
        <w:tc>
          <w:tcPr>
            <w:tcW w:type="dxa" w:w="3528"/>
            <w:vAlign w:val="top"/>
          </w:tcPr>
          <w:p>
            <w:pPr>
              <w:spacing w:after="20"/>
            </w:pPr>
            <w:r>
              <w:rPr>
                <w:sz w:val="16"/>
              </w:rPr>
              <w:t>Document ingestion candidate.</w:t>
            </w:r>
          </w:p>
        </w:tc>
      </w:tr>
      <w:tr>
        <w:trPr>
          <w:cantSplit/>
        </w:trPr>
        <w:tc>
          <w:tcPr>
            <w:tcW w:type="dxa" w:w="2016"/>
            <w:vAlign w:val="top"/>
          </w:tcPr>
          <w:p>
            <w:pPr>
              <w:spacing w:after="20"/>
            </w:pPr>
            <w:r>
              <w:rPr>
                <w:sz w:val="16"/>
              </w:rPr>
              <w:t>Microsoft GraphRAG</w:t>
            </w:r>
          </w:p>
        </w:tc>
        <w:tc>
          <w:tcPr>
            <w:tcW w:type="dxa" w:w="4536"/>
            <w:vAlign w:val="top"/>
          </w:tcPr>
          <w:p>
            <w:pPr>
              <w:spacing w:after="20"/>
            </w:pPr>
            <w:r>
              <w:rPr>
                <w:sz w:val="16"/>
              </w:rPr>
              <w:t>https://github.com/microsoft/graphrag</w:t>
            </w:r>
          </w:p>
        </w:tc>
        <w:tc>
          <w:tcPr>
            <w:tcW w:type="dxa" w:w="3528"/>
            <w:vAlign w:val="top"/>
          </w:tcPr>
          <w:p>
            <w:pPr>
              <w:spacing w:after="20"/>
            </w:pPr>
            <w:r>
              <w:rPr>
                <w:sz w:val="16"/>
              </w:rPr>
              <w:t>Graph-based knowledge retrieval reference.</w:t>
            </w:r>
          </w:p>
        </w:tc>
      </w:tr>
      <w:tr>
        <w:trPr>
          <w:cantSplit/>
        </w:trPr>
        <w:tc>
          <w:tcPr>
            <w:tcW w:type="dxa" w:w="2016"/>
            <w:vAlign w:val="top"/>
          </w:tcPr>
          <w:p>
            <w:pPr>
              <w:spacing w:after="20"/>
            </w:pPr>
            <w:r>
              <w:rPr>
                <w:sz w:val="16"/>
              </w:rPr>
              <w:t>NATS</w:t>
            </w:r>
          </w:p>
        </w:tc>
        <w:tc>
          <w:tcPr>
            <w:tcW w:type="dxa" w:w="4536"/>
            <w:vAlign w:val="top"/>
          </w:tcPr>
          <w:p>
            <w:pPr>
              <w:spacing w:after="20"/>
            </w:pPr>
            <w:r>
              <w:rPr>
                <w:sz w:val="16"/>
              </w:rPr>
              <w:t>https://docs.nats.io/</w:t>
            </w:r>
          </w:p>
        </w:tc>
        <w:tc>
          <w:tcPr>
            <w:tcW w:type="dxa" w:w="3528"/>
            <w:vAlign w:val="top"/>
          </w:tcPr>
          <w:p>
            <w:pPr>
              <w:spacing w:after="20"/>
            </w:pPr>
            <w:r>
              <w:rPr>
                <w:sz w:val="16"/>
              </w:rPr>
              <w:t>Messaging/event fabric reference.</w:t>
            </w:r>
          </w:p>
        </w:tc>
      </w:tr>
      <w:tr>
        <w:trPr>
          <w:cantSplit/>
        </w:trPr>
        <w:tc>
          <w:tcPr>
            <w:tcW w:type="dxa" w:w="2016"/>
            <w:vAlign w:val="top"/>
          </w:tcPr>
          <w:p>
            <w:pPr>
              <w:spacing w:after="20"/>
            </w:pPr>
            <w:r>
              <w:rPr>
                <w:sz w:val="16"/>
              </w:rPr>
              <w:t>Ray</w:t>
            </w:r>
          </w:p>
        </w:tc>
        <w:tc>
          <w:tcPr>
            <w:tcW w:type="dxa" w:w="4536"/>
            <w:vAlign w:val="top"/>
          </w:tcPr>
          <w:p>
            <w:pPr>
              <w:spacing w:after="20"/>
            </w:pPr>
            <w:r>
              <w:rPr>
                <w:sz w:val="16"/>
              </w:rPr>
              <w:t>https://docs.ray.io/</w:t>
            </w:r>
          </w:p>
        </w:tc>
        <w:tc>
          <w:tcPr>
            <w:tcW w:type="dxa" w:w="3528"/>
            <w:vAlign w:val="top"/>
          </w:tcPr>
          <w:p>
            <w:pPr>
              <w:spacing w:after="20"/>
            </w:pPr>
            <w:r>
              <w:rPr>
                <w:sz w:val="16"/>
              </w:rPr>
              <w:t>Distributed task/actor execution reference.</w:t>
            </w:r>
          </w:p>
        </w:tc>
      </w:tr>
      <w:tr>
        <w:trPr>
          <w:cantSplit/>
        </w:trPr>
        <w:tc>
          <w:tcPr>
            <w:tcW w:type="dxa" w:w="2016"/>
            <w:vAlign w:val="top"/>
          </w:tcPr>
          <w:p>
            <w:pPr>
              <w:spacing w:after="20"/>
            </w:pPr>
            <w:r>
              <w:rPr>
                <w:sz w:val="16"/>
              </w:rPr>
              <w:t>K3s</w:t>
            </w:r>
          </w:p>
        </w:tc>
        <w:tc>
          <w:tcPr>
            <w:tcW w:type="dxa" w:w="4536"/>
            <w:vAlign w:val="top"/>
          </w:tcPr>
          <w:p>
            <w:pPr>
              <w:spacing w:after="20"/>
            </w:pPr>
            <w:r>
              <w:rPr>
                <w:sz w:val="16"/>
              </w:rPr>
              <w:t>https://docs.k3s.io/</w:t>
            </w:r>
          </w:p>
        </w:tc>
        <w:tc>
          <w:tcPr>
            <w:tcW w:type="dxa" w:w="3528"/>
            <w:vAlign w:val="top"/>
          </w:tcPr>
          <w:p>
            <w:pPr>
              <w:spacing w:after="20"/>
            </w:pPr>
            <w:r>
              <w:rPr>
                <w:sz w:val="16"/>
              </w:rPr>
              <w:t>Future lightweight Kubernetes rack infrastructure.</w:t>
            </w:r>
          </w:p>
        </w:tc>
      </w:tr>
      <w:tr>
        <w:trPr>
          <w:cantSplit/>
        </w:trPr>
        <w:tc>
          <w:tcPr>
            <w:tcW w:type="dxa" w:w="2016"/>
            <w:vAlign w:val="top"/>
          </w:tcPr>
          <w:p>
            <w:pPr>
              <w:spacing w:after="20"/>
            </w:pPr>
            <w:r>
              <w:rPr>
                <w:sz w:val="16"/>
              </w:rPr>
              <w:t>Sigstore</w:t>
            </w:r>
          </w:p>
        </w:tc>
        <w:tc>
          <w:tcPr>
            <w:tcW w:type="dxa" w:w="4536"/>
            <w:vAlign w:val="top"/>
          </w:tcPr>
          <w:p>
            <w:pPr>
              <w:spacing w:after="20"/>
            </w:pPr>
            <w:r>
              <w:rPr>
                <w:sz w:val="16"/>
              </w:rPr>
              <w:t>https://docs.sigstore.dev/</w:t>
            </w:r>
          </w:p>
        </w:tc>
        <w:tc>
          <w:tcPr>
            <w:tcW w:type="dxa" w:w="3528"/>
            <w:vAlign w:val="top"/>
          </w:tcPr>
          <w:p>
            <w:pPr>
              <w:spacing w:after="20"/>
            </w:pPr>
            <w:r>
              <w:rPr>
                <w:sz w:val="16"/>
              </w:rPr>
              <w:t>Artifact signing and verification.</w:t>
            </w:r>
          </w:p>
        </w:tc>
      </w:tr>
      <w:tr>
        <w:trPr>
          <w:cantSplit/>
        </w:trPr>
        <w:tc>
          <w:tcPr>
            <w:tcW w:type="dxa" w:w="2016"/>
            <w:vAlign w:val="top"/>
          </w:tcPr>
          <w:p>
            <w:pPr>
              <w:spacing w:after="20"/>
            </w:pPr>
            <w:r>
              <w:rPr>
                <w:sz w:val="16"/>
              </w:rPr>
              <w:t>in-toto</w:t>
            </w:r>
          </w:p>
        </w:tc>
        <w:tc>
          <w:tcPr>
            <w:tcW w:type="dxa" w:w="4536"/>
            <w:vAlign w:val="top"/>
          </w:tcPr>
          <w:p>
            <w:pPr>
              <w:spacing w:after="20"/>
            </w:pPr>
            <w:r>
              <w:rPr>
                <w:sz w:val="16"/>
              </w:rPr>
              <w:t>https://in-toto.io/</w:t>
            </w:r>
          </w:p>
        </w:tc>
        <w:tc>
          <w:tcPr>
            <w:tcW w:type="dxa" w:w="3528"/>
            <w:vAlign w:val="top"/>
          </w:tcPr>
          <w:p>
            <w:pPr>
              <w:spacing w:after="20"/>
            </w:pPr>
            <w:r>
              <w:rPr>
                <w:sz w:val="16"/>
              </w:rPr>
              <w:t>Software supply-chain provenance.</w:t>
            </w:r>
          </w:p>
        </w:tc>
      </w:tr>
      <w:tr>
        <w:trPr>
          <w:cantSplit/>
        </w:trPr>
        <w:tc>
          <w:tcPr>
            <w:tcW w:type="dxa" w:w="2016"/>
            <w:vAlign w:val="top"/>
          </w:tcPr>
          <w:p>
            <w:pPr>
              <w:spacing w:after="20"/>
            </w:pPr>
            <w:r>
              <w:rPr>
                <w:sz w:val="16"/>
              </w:rPr>
              <w:t>TUF</w:t>
            </w:r>
          </w:p>
        </w:tc>
        <w:tc>
          <w:tcPr>
            <w:tcW w:type="dxa" w:w="4536"/>
            <w:vAlign w:val="top"/>
          </w:tcPr>
          <w:p>
            <w:pPr>
              <w:spacing w:after="20"/>
            </w:pPr>
            <w:r>
              <w:rPr>
                <w:sz w:val="16"/>
              </w:rPr>
              <w:t>https://theupdateframework.io/</w:t>
            </w:r>
          </w:p>
        </w:tc>
        <w:tc>
          <w:tcPr>
            <w:tcW w:type="dxa" w:w="3528"/>
            <w:vAlign w:val="top"/>
          </w:tcPr>
          <w:p>
            <w:pPr>
              <w:spacing w:after="20"/>
            </w:pPr>
            <w:r>
              <w:rPr>
                <w:sz w:val="16"/>
              </w:rPr>
              <w:t>Secure software update framework.</w:t>
            </w:r>
          </w:p>
        </w:tc>
      </w:tr>
      <w:tr>
        <w:trPr>
          <w:cantSplit/>
        </w:trPr>
        <w:tc>
          <w:tcPr>
            <w:tcW w:type="dxa" w:w="2016"/>
            <w:vAlign w:val="top"/>
          </w:tcPr>
          <w:p>
            <w:pPr>
              <w:spacing w:after="20"/>
            </w:pPr>
            <w:r>
              <w:rPr>
                <w:sz w:val="16"/>
              </w:rPr>
              <w:t>Promptfoo</w:t>
            </w:r>
          </w:p>
        </w:tc>
        <w:tc>
          <w:tcPr>
            <w:tcW w:type="dxa" w:w="4536"/>
            <w:vAlign w:val="top"/>
          </w:tcPr>
          <w:p>
            <w:pPr>
              <w:spacing w:after="20"/>
            </w:pPr>
            <w:r>
              <w:rPr>
                <w:sz w:val="16"/>
              </w:rPr>
              <w:t>https://www.promptfoo.dev/</w:t>
            </w:r>
          </w:p>
        </w:tc>
        <w:tc>
          <w:tcPr>
            <w:tcW w:type="dxa" w:w="3528"/>
            <w:vAlign w:val="top"/>
          </w:tcPr>
          <w:p>
            <w:pPr>
              <w:spacing w:after="20"/>
            </w:pPr>
            <w:r>
              <w:rPr>
                <w:sz w:val="16"/>
              </w:rPr>
              <w:t>AI evaluation and red-team testing.</w:t>
            </w:r>
          </w:p>
        </w:tc>
      </w:tr>
      <w:tr>
        <w:trPr>
          <w:cantSplit/>
        </w:trPr>
        <w:tc>
          <w:tcPr>
            <w:tcW w:type="dxa" w:w="2016"/>
            <w:vAlign w:val="top"/>
          </w:tcPr>
          <w:p>
            <w:pPr>
              <w:spacing w:after="20"/>
            </w:pPr>
            <w:r>
              <w:rPr>
                <w:sz w:val="16"/>
              </w:rPr>
              <w:t>OpenTelemetry</w:t>
            </w:r>
          </w:p>
        </w:tc>
        <w:tc>
          <w:tcPr>
            <w:tcW w:type="dxa" w:w="4536"/>
            <w:vAlign w:val="top"/>
          </w:tcPr>
          <w:p>
            <w:pPr>
              <w:spacing w:after="20"/>
            </w:pPr>
            <w:r>
              <w:rPr>
                <w:sz w:val="16"/>
              </w:rPr>
              <w:t>https://opentelemetry.io/</w:t>
            </w:r>
          </w:p>
        </w:tc>
        <w:tc>
          <w:tcPr>
            <w:tcW w:type="dxa" w:w="3528"/>
            <w:vAlign w:val="top"/>
          </w:tcPr>
          <w:p>
            <w:pPr>
              <w:spacing w:after="20"/>
            </w:pPr>
            <w:r>
              <w:rPr>
                <w:sz w:val="16"/>
              </w:rPr>
              <w:t>Vendor-neutral telemetry.</w:t>
            </w:r>
          </w:p>
        </w:tc>
      </w:tr>
      <w:tr>
        <w:trPr>
          <w:cantSplit/>
        </w:trPr>
        <w:tc>
          <w:tcPr>
            <w:tcW w:type="dxa" w:w="2016"/>
            <w:vAlign w:val="top"/>
          </w:tcPr>
          <w:p>
            <w:pPr>
              <w:spacing w:after="20"/>
            </w:pPr>
            <w:r>
              <w:rPr>
                <w:sz w:val="16"/>
              </w:rPr>
              <w:t>Official MCP Registry</w:t>
            </w:r>
          </w:p>
        </w:tc>
        <w:tc>
          <w:tcPr>
            <w:tcW w:type="dxa" w:w="4536"/>
            <w:vAlign w:val="top"/>
          </w:tcPr>
          <w:p>
            <w:pPr>
              <w:spacing w:after="20"/>
            </w:pPr>
            <w:r>
              <w:rPr>
                <w:sz w:val="16"/>
              </w:rPr>
              <w:t>https://registry.modelcontextprotocol.io/</w:t>
            </w:r>
          </w:p>
        </w:tc>
        <w:tc>
          <w:tcPr>
            <w:tcW w:type="dxa" w:w="3528"/>
            <w:vAlign w:val="top"/>
          </w:tcPr>
          <w:p>
            <w:pPr>
              <w:spacing w:after="20"/>
            </w:pPr>
            <w:r>
              <w:rPr>
                <w:sz w:val="16"/>
              </w:rPr>
              <w:t>MCP discovery/registry infrastructure.</w:t>
            </w:r>
          </w:p>
        </w:tc>
      </w:tr>
      <w:tr>
        <w:trPr>
          <w:cantSplit/>
        </w:trPr>
        <w:tc>
          <w:tcPr>
            <w:tcW w:type="dxa" w:w="2016"/>
            <w:vAlign w:val="top"/>
          </w:tcPr>
          <w:p>
            <w:pPr>
              <w:spacing w:after="20"/>
            </w:pPr>
            <w:r>
              <w:rPr>
                <w:sz w:val="16"/>
              </w:rPr>
              <w:t>WSL configuration</w:t>
            </w:r>
            <w:r>
              <w:rPr>
                <w:i/>
                <w:color w:val="7F7F7F"/>
                <w:sz w:val="14"/>
              </w:rPr>
              <w:t xml:space="preserve"> [new v1.1]</w:t>
            </w:r>
          </w:p>
        </w:tc>
        <w:tc>
          <w:tcPr>
            <w:tcW w:type="dxa" w:w="4536"/>
            <w:vAlign w:val="top"/>
          </w:tcPr>
          <w:p>
            <w:pPr>
              <w:spacing w:after="20"/>
            </w:pPr>
            <w:r>
              <w:rPr>
                <w:sz w:val="16"/>
              </w:rPr>
              <w:t>https://learn.microsoft.com/en-us/windows/wsl/wsl-config</w:t>
            </w:r>
          </w:p>
        </w:tc>
        <w:tc>
          <w:tcPr>
            <w:tcW w:type="dxa" w:w="3528"/>
            <w:vAlign w:val="top"/>
          </w:tcPr>
          <w:p>
            <w:pPr>
              <w:spacing w:after="20"/>
            </w:pPr>
            <w:r>
              <w:rPr>
                <w:sz w:val="16"/>
              </w:rPr>
              <w:t>wsl.conf automount and interop settings for the Tier 1 sandbox distribution.</w:t>
            </w:r>
          </w:p>
        </w:tc>
      </w:tr>
      <w:tr>
        <w:trPr>
          <w:cantSplit/>
        </w:trPr>
        <w:tc>
          <w:tcPr>
            <w:tcW w:type="dxa" w:w="2016"/>
            <w:vAlign w:val="top"/>
          </w:tcPr>
          <w:p>
            <w:pPr>
              <w:spacing w:after="20"/>
            </w:pPr>
            <w:r>
              <w:rPr>
                <w:sz w:val="16"/>
              </w:rPr>
              <w:t>OWASP GenAI Security Project</w:t>
            </w:r>
            <w:r>
              <w:rPr>
                <w:i/>
                <w:color w:val="7F7F7F"/>
                <w:sz w:val="14"/>
              </w:rPr>
              <w:t xml:space="preserve"> [new v1.1]</w:t>
            </w:r>
          </w:p>
        </w:tc>
        <w:tc>
          <w:tcPr>
            <w:tcW w:type="dxa" w:w="4536"/>
            <w:vAlign w:val="top"/>
          </w:tcPr>
          <w:p>
            <w:pPr>
              <w:spacing w:after="20"/>
            </w:pPr>
            <w:r>
              <w:rPr>
                <w:sz w:val="16"/>
              </w:rPr>
              <w:t>https://genai.owasp.org/</w:t>
            </w:r>
          </w:p>
        </w:tc>
        <w:tc>
          <w:tcPr>
            <w:tcW w:type="dxa" w:w="3528"/>
            <w:vAlign w:val="top"/>
          </w:tcPr>
          <w:p>
            <w:pPr>
              <w:spacing w:after="20"/>
            </w:pPr>
            <w:r>
              <w:rPr>
                <w:sz w:val="16"/>
              </w:rPr>
              <w:t>Prompt injection, excessive agency, and LLM application risk taxonomy.</w:t>
            </w:r>
          </w:p>
        </w:tc>
      </w:tr>
    </w:tbl>
    <w:p/>
    <w:p>
      <w:pPr>
        <w:pStyle w:val="Heading1"/>
      </w:pPr>
      <w:r>
        <w:t>28. Resolved Questions (v1.1)</w:t>
      </w:r>
    </w:p>
    <w:p>
      <w:r>
        <w:t>The open questions from v1 are resolved as follows for Foundation v1. Each resolution is recorded in the referenced ADR and may be revisited by a later ADR.</w:t>
      </w:r>
      <w:r>
        <w:rPr>
          <w:i/>
          <w:color w:val="7F7F7F"/>
          <w:sz w:val="16"/>
        </w:rPr>
        <w:t xml:space="preserve"> [changed v1.1]</w:t>
      </w:r>
    </w:p>
    <w:p>
      <w:pPr>
        <w:pStyle w:val="ListBullet"/>
      </w:pPr>
      <w:r>
        <w:rPr>
          <w:b/>
        </w:rPr>
        <w:t>1. Policy evaluation: internal first or OPA immediately?</w:t>
      </w:r>
      <w:r>
        <w:t xml:space="preserve"> Internal first. A declarative policy table evaluated in-process (ADR-021). In-process evaluation removes the "policy engine unavailable" failure mode for v1; OPA is introduced later behind PolicyEngineProvider when policies outgrow the table or a second node needs them.</w:t>
      </w:r>
    </w:p>
    <w:p>
      <w:pPr>
        <w:pStyle w:val="ListBullet"/>
      </w:pPr>
      <w:r>
        <w:rPr>
          <w:b/>
        </w:rPr>
        <w:t>2. Smallest viable persistence.</w:t>
      </w:r>
      <w:r>
        <w:t xml:space="preserve"> One SQLite database in WAL mode for identity, delegations, approvals, audit (hash-chained), tasks and step journal, sessions, memory records, and registries; the filesystem holds canonical documents; vector indexes are derived and rebuildable. Every row carries owner and security_domain from day one. Repository interfaces allow later migration (ADR-018).</w:t>
      </w:r>
    </w:p>
    <w:p>
      <w:pPr>
        <w:pStyle w:val="ListBullet"/>
      </w:pPr>
      <w:r>
        <w:rPr>
          <w:b/>
        </w:rPr>
        <w:t>3. Client Gateway transport.</w:t>
      </w:r>
      <w:r>
        <w:t xml:space="preserve"> HTTP + WebSocket bound to loopback with per-client credentials and Origin validation (GUI-008). Separate local IPC is unnecessary.</w:t>
      </w:r>
    </w:p>
    <w:p>
      <w:pPr>
        <w:pStyle w:val="ListBullet"/>
      </w:pPr>
      <w:r>
        <w:rPr>
          <w:b/>
        </w:rPr>
        <w:t>4. Workflow durability before Temporal.</w:t>
      </w:r>
      <w:r>
        <w:t xml:space="preserve"> A task and step journal in SQLite. On restart, a task resumes from its last completed step when the remaining steps are idempotent or keyed; otherwise it is marked interrupted and the user decides. Non-idempotent steps follow ORCH-006. Temporal is introduced for multi-day workflows, timers, or multi-node execution.</w:t>
      </w:r>
    </w:p>
    <w:p>
      <w:pPr>
        <w:pStyle w:val="ListBullet"/>
      </w:pPr>
      <w:r>
        <w:rPr>
          <w:b/>
        </w:rPr>
        <w:t>5. Resource Manager vs Model Router vs Dynamo/Ray/Maze.</w:t>
      </w:r>
      <w:r>
        <w:t xml:space="preserve"> The Resource Manager owns placement policy and budgets; the Model Router chooses a model class for a request within the placements the Resource Manager permits; runtimes and distributed schedulers are mechanisms that own residency within their budget (RES-008). There is one residency authority per runtime.</w:t>
      </w:r>
    </w:p>
    <w:p>
      <w:pPr>
        <w:pStyle w:val="ListBullet"/>
      </w:pPr>
      <w:r>
        <w:rPr>
          <w:b/>
        </w:rPr>
        <w:t>6. Cached authorization during failure.</w:t>
      </w:r>
      <w:r>
        <w:t xml:space="preserve"> Deny-only caching, plus bounded-TTL allow caching for read-class capabilities only (SEC-017).</w:t>
      </w:r>
    </w:p>
    <w:p>
      <w:pPr>
        <w:pStyle w:val="ListBullet"/>
      </w:pPr>
      <w:r>
        <w:rPr>
          <w:b/>
        </w:rPr>
        <w:t>7. Transactional/idempotency guarantees.</w:t>
      </w:r>
      <w:r>
        <w:t xml:space="preserve"> No cross-provider transactions. The broker guarantees an idempotency key on every invocation; each capability declares idempotent, keyed, or non_idempotent; compensation is per capability (ORCH-004, ORCH-006).</w:t>
      </w:r>
    </w:p>
    <w:p>
      <w:pPr>
        <w:pStyle w:val="ListBullet"/>
      </w:pPr>
      <w:r>
        <w:rPr>
          <w:b/>
        </w:rPr>
        <w:t>8. Minimum identity model before SPIRE.</w:t>
      </w:r>
      <w:r>
        <w:t xml:space="preserve"> Core runs as a dedicated local service account. Users authenticate with local credentials (password hashed with Argon2 or equivalent). Each client holds a random per-client credential stored with the OS credential store (Windows DPAPI/Credential Manager). Agent tasks hold DB-backed delegation handles. No PKI until a second node exists.</w:t>
      </w:r>
    </w:p>
    <w:p>
      <w:pPr>
        <w:pStyle w:val="ListBullet"/>
      </w:pPr>
      <w:r>
        <w:rPr>
          <w:b/>
        </w:rPr>
        <w:t>9. Deletion/forgetting propagation.</w:t>
      </w:r>
      <w:r>
        <w:t xml:space="preserve"> Per MEM-009 and SEC-018. Per-user encryption keys enabling crypto-shredding of backups are a post-v1 option. Federated copies are out of scope until federation (Appendix A, SEC-039).</w:t>
      </w:r>
    </w:p>
    <w:p>
      <w:pPr>
        <w:pStyle w:val="ListBullet"/>
      </w:pPr>
      <w:r>
        <w:rPr>
          <w:b/>
        </w:rPr>
        <w:t>10. Version compatibility.</w:t>
      </w:r>
      <w:r>
        <w:t xml:space="preserve"> Semantic versioning per contract. Capability IDs carry a major version; changes within a major version are additive only. Core supports the current and previous major version of the Client SDK, Provider SDK, and capability schemas, negotiated at session/registration time.</w:t>
      </w:r>
    </w:p>
    <w:p>
      <w:pPr>
        <w:pStyle w:val="Heading1"/>
      </w:pPr>
      <w:r>
        <w:t>29. Freeze Candidate Statement</w:t>
      </w:r>
    </w:p>
    <w:p>
      <w:r>
        <w:t>This document is a Foundation v1.1 architecture freeze candidate, not an implementation mandate for every named technology. Its purpose is to freeze boundaries, invariants, security semantics, contracts, and acceptance expectations strongly enough that implementation can proceed incrementally without repeatedly redesigning Freya Core.</w:t>
      </w:r>
    </w:p>
    <w:p>
      <w:r>
        <w:t>v1.1 incorporates the Claude adversarial review. It should be reviewed independently by Codex (and optionally re-reviewed by Claude Code) using the brief in §26. Findings that alter a locked requirement or Core boundary should be resolved through explicit ADRs and reflected in a v1.2 specification before substantial implementation.</w:t>
      </w:r>
    </w:p>
    <w:p>
      <w:r>
        <w:br w:type="page"/>
      </w:r>
    </w:p>
    <w:p>
      <w:pPr>
        <w:pStyle w:val="Heading1"/>
      </w:pPr>
      <w:r>
        <w:t>Appendix A. Future Invariants: Federated Administrative Sovereignty</w:t>
      </w:r>
    </w:p>
    <w:p>
      <w:r>
        <w:t>These requirements are unchanged from v1 §6.2. They are not implemented or tested in Foundation v1, but v1 contracts must not preclude them. They become binding when federation, clustering across administrative domains, or shared resources between independently administered Freya systems are implemented.</w:t>
      </w:r>
    </w:p>
    <w:p>
      <w:r>
        <w:rPr>
          <w:b/>
          <w:color w:val="C00000"/>
        </w:rPr>
        <w:t xml:space="preserve">SEC-035 — MUST: </w:t>
      </w:r>
      <w:r>
        <w:t>When independently administered Freya systems connect, federate, cluster, share resources, or cooperate, each originating Freya security domain retains its own administrative sovereignty/root of trust unless an explicit protected governance operation establishes otherwise.</w:t>
      </w:r>
    </w:p>
    <w:p>
      <w:r>
        <w:rPr>
          <w:b/>
          <w:color w:val="C00000"/>
        </w:rPr>
        <w:t xml:space="preserve">SEC-036 — MUST: </w:t>
      </w:r>
      <w:r>
        <w:t>An administrator's destructive/zeroization authority remains limited to nodes, private/system data, cryptographic material, backups, and resources belonging to that administrator's authorized security domain.</w:t>
      </w:r>
    </w:p>
    <w:p>
      <w:r>
        <w:rPr>
          <w:b/>
          <w:color w:val="C00000"/>
        </w:rPr>
        <w:t xml:space="preserve">SEC-037 — MUST: </w:t>
      </w:r>
      <w:r>
        <w:t>Federation must not automatically extend root authority over another Freya system's nodes, users, private data, keys, backups, or infrastructure.</w:t>
      </w:r>
    </w:p>
    <w:p>
      <w:r>
        <w:rPr>
          <w:b/>
          <w:color w:val="C00000"/>
        </w:rPr>
        <w:t xml:space="preserve">SEC-038 — MUST: </w:t>
      </w:r>
      <w:r>
        <w:t>A global duress credential is global only within that administrator's authorized security domain.</w:t>
      </w:r>
    </w:p>
    <w:p>
      <w:r>
        <w:rPr>
          <w:b/>
          <w:color w:val="C00000"/>
        </w:rPr>
        <w:t xml:space="preserve">SEC-039 — MUST: </w:t>
      </w:r>
      <w:r>
        <w:t>For ordinary federated/shared resources, one domain's emergency destruction/revocation destroys or revokes its own copies, keys, caches, derivatives, temporary copies, and credentials, not independently owned copies in another domain.</w:t>
      </w:r>
    </w:p>
    <w:p>
      <w:r>
        <w:rPr>
          <w:b/>
          <w:color w:val="548235"/>
        </w:rPr>
        <w:t xml:space="preserve">SEC-040 — MAY: </w:t>
      </w:r>
      <w:r>
        <w:t>Explicit mutually shared secrets may define reciprocal emergency-destruction policy when participating domains pre-authorize designated authorities and scope.</w:t>
      </w:r>
    </w:p>
    <w:p>
      <w:pPr>
        <w:pStyle w:val="Heading1"/>
      </w:pPr>
      <w:r>
        <w:t>Appendix B. v1 → v1.1 Change Log</w:t>
      </w:r>
    </w:p>
    <w:p>
      <w:r>
        <w:t>Each change is traced to the review finding that motivated it. Severity is the reviewer's assessment of the v1 issue.</w:t>
      </w:r>
    </w:p>
    <w:tbl>
      <w:tblPr>
        <w:tblStyle w:val="TableGrid"/>
        <w:tblW w:type="auto" w:w="0"/>
        <w:jc w:val="center"/>
        <w:tblLook w:firstColumn="1" w:firstRow="1" w:lastColumn="0" w:lastRow="0" w:noHBand="0" w:noVBand="1" w:val="04A0"/>
      </w:tblPr>
      <w:tblGrid>
        <w:gridCol w:w="1008"/>
        <w:gridCol w:w="2520"/>
        <w:gridCol w:w="4032"/>
        <w:gridCol w:w="2520"/>
      </w:tblGrid>
      <w:tr>
        <w:trPr>
          <w:tblHeader w:val="true"/>
        </w:trPr>
        <w:tc>
          <w:tcPr>
            <w:tcW w:type="dxa" w:w="1008"/>
            <w:shd w:fill="D9EAF7"/>
            <w:vAlign w:val="center"/>
          </w:tcPr>
          <w:p>
            <w:r>
              <w:rPr>
                <w:b/>
                <w:sz w:val="17"/>
              </w:rPr>
              <w:t>#</w:t>
            </w:r>
          </w:p>
        </w:tc>
        <w:tc>
          <w:tcPr>
            <w:tcW w:type="dxa" w:w="2520"/>
            <w:shd w:fill="D9EAF7"/>
            <w:vAlign w:val="center"/>
          </w:tcPr>
          <w:p>
            <w:r>
              <w:rPr>
                <w:b/>
                <w:sz w:val="17"/>
              </w:rPr>
              <w:t>Finding (severity)</w:t>
            </w:r>
          </w:p>
        </w:tc>
        <w:tc>
          <w:tcPr>
            <w:tcW w:type="dxa" w:w="4032"/>
            <w:shd w:fill="D9EAF7"/>
            <w:vAlign w:val="center"/>
          </w:tcPr>
          <w:p>
            <w:r>
              <w:rPr>
                <w:b/>
                <w:sz w:val="17"/>
              </w:rPr>
              <w:t>Change</w:t>
            </w:r>
          </w:p>
        </w:tc>
        <w:tc>
          <w:tcPr>
            <w:tcW w:type="dxa" w:w="2520"/>
            <w:shd w:fill="D9EAF7"/>
            <w:vAlign w:val="center"/>
          </w:tcPr>
          <w:p>
            <w:r>
              <w:rPr>
                <w:b/>
                <w:sz w:val="17"/>
              </w:rPr>
              <w:t>Where</w:t>
            </w:r>
          </w:p>
        </w:tc>
      </w:tr>
      <w:tr>
        <w:trPr>
          <w:cantSplit/>
        </w:trPr>
        <w:tc>
          <w:tcPr>
            <w:tcW w:type="dxa" w:w="1008"/>
            <w:vAlign w:val="top"/>
          </w:tcPr>
          <w:p>
            <w:pPr>
              <w:spacing w:after="20"/>
            </w:pPr>
            <w:r>
              <w:rPr>
                <w:sz w:val="16"/>
              </w:rPr>
              <w:t>1</w:t>
            </w:r>
          </w:p>
        </w:tc>
        <w:tc>
          <w:tcPr>
            <w:tcW w:type="dxa" w:w="2520"/>
            <w:vAlign w:val="top"/>
          </w:tcPr>
          <w:p>
            <w:pPr>
              <w:spacing w:after="20"/>
            </w:pPr>
            <w:r>
              <w:rPr>
                <w:sz w:val="16"/>
              </w:rPr>
              <w:t>No prompt-injection / untrusted-content threat model (Critical)</w:t>
            </w:r>
          </w:p>
        </w:tc>
        <w:tc>
          <w:tcPr>
            <w:tcW w:type="dxa" w:w="4032"/>
            <w:vAlign w:val="top"/>
          </w:tcPr>
          <w:p>
            <w:pPr>
              <w:spacing w:after="20"/>
            </w:pPr>
            <w:r>
              <w:rPr>
                <w:sz w:val="16"/>
              </w:rPr>
              <w:t>Trust labels from provenance; untrusted content cannot expand authority; strict approval after untrusted ingestion; egress control; risk_class enum and egress field</w:t>
            </w:r>
          </w:p>
        </w:tc>
        <w:tc>
          <w:tcPr>
            <w:tcW w:type="dxa" w:w="2520"/>
            <w:vAlign w:val="top"/>
          </w:tcPr>
          <w:p>
            <w:pPr>
              <w:spacing w:after="20"/>
            </w:pPr>
            <w:r>
              <w:rPr>
                <w:sz w:val="16"/>
              </w:rPr>
              <w:t>§6.3 SEC-011–016; §5; §19; ADR-013</w:t>
            </w:r>
          </w:p>
        </w:tc>
      </w:tr>
      <w:tr>
        <w:trPr>
          <w:cantSplit/>
        </w:trPr>
        <w:tc>
          <w:tcPr>
            <w:tcW w:type="dxa" w:w="1008"/>
            <w:vAlign w:val="top"/>
          </w:tcPr>
          <w:p>
            <w:pPr>
              <w:spacing w:after="20"/>
            </w:pPr>
            <w:r>
              <w:rPr>
                <w:sz w:val="16"/>
              </w:rPr>
              <w:t>2</w:t>
            </w:r>
          </w:p>
        </w:tc>
        <w:tc>
          <w:tcPr>
            <w:tcW w:type="dxa" w:w="2520"/>
            <w:vAlign w:val="top"/>
          </w:tcPr>
          <w:p>
            <w:pPr>
              <w:spacing w:after="20"/>
            </w:pPr>
            <w:r>
              <w:rPr>
                <w:sz w:val="16"/>
              </w:rPr>
              <w:t>Agent frameworks can bypass the broker (Critical)</w:t>
            </w:r>
          </w:p>
        </w:tc>
        <w:tc>
          <w:tcPr>
            <w:tcW w:type="dxa" w:w="4032"/>
            <w:vAlign w:val="top"/>
          </w:tcPr>
          <w:p>
            <w:pPr>
              <w:spacing w:after="20"/>
            </w:pPr>
            <w:r>
              <w:rPr>
                <w:sz w:val="16"/>
              </w:rPr>
              <w:t>All agent tools and model calls brokered; third-party runtimes isolated and contract-tested; first-party reference runtime is the v1 default</w:t>
            </w:r>
          </w:p>
        </w:tc>
        <w:tc>
          <w:tcPr>
            <w:tcW w:type="dxa" w:w="2520"/>
            <w:vAlign w:val="top"/>
          </w:tcPr>
          <w:p>
            <w:pPr>
              <w:spacing w:after="20"/>
            </w:pPr>
            <w:r>
              <w:rPr>
                <w:sz w:val="16"/>
              </w:rPr>
              <w:t>§11.1 AGT-001–006; ARCH-019; §24; §20; ADR-014</w:t>
            </w:r>
          </w:p>
        </w:tc>
      </w:tr>
      <w:tr>
        <w:trPr>
          <w:cantSplit/>
        </w:trPr>
        <w:tc>
          <w:tcPr>
            <w:tcW w:type="dxa" w:w="1008"/>
            <w:vAlign w:val="top"/>
          </w:tcPr>
          <w:p>
            <w:pPr>
              <w:spacing w:after="20"/>
            </w:pPr>
            <w:r>
              <w:rPr>
                <w:sz w:val="16"/>
              </w:rPr>
              <w:t>3</w:t>
            </w:r>
          </w:p>
        </w:tc>
        <w:tc>
          <w:tcPr>
            <w:tcW w:type="dxa" w:w="2520"/>
            <w:vAlign w:val="top"/>
          </w:tcPr>
          <w:p>
            <w:pPr>
              <w:spacing w:after="20"/>
            </w:pPr>
            <w:r>
              <w:rPr>
                <w:sz w:val="16"/>
              </w:rPr>
              <w:t>Generated code effectively runs on the host in v1; gVisor/Kata unavailable on Windows (Critical)</w:t>
            </w:r>
          </w:p>
        </w:tc>
        <w:tc>
          <w:tcPr>
            <w:tcW w:type="dxa" w:w="4032"/>
            <w:vAlign w:val="top"/>
          </w:tcPr>
          <w:p>
            <w:pPr>
              <w:spacing w:after="20"/>
            </w:pPr>
            <w:r>
              <w:rPr>
                <w:sz w:val="16"/>
              </w:rPr>
              <w:t>Isolation tiers; Tier 1 = containers in a dedicated WSL2 distro with automount/interop off; no host fallback</w:t>
            </w:r>
          </w:p>
        </w:tc>
        <w:tc>
          <w:tcPr>
            <w:tcW w:type="dxa" w:w="2520"/>
            <w:vAlign w:val="top"/>
          </w:tcPr>
          <w:p>
            <w:pPr>
              <w:spacing w:after="20"/>
            </w:pPr>
            <w:r>
              <w:rPr>
                <w:sz w:val="16"/>
              </w:rPr>
              <w:t>§6.4 EXEC-001–006; ARCH-017; SEC-005; §20; ADR-015</w:t>
            </w:r>
          </w:p>
        </w:tc>
      </w:tr>
      <w:tr>
        <w:trPr>
          <w:cantSplit/>
        </w:trPr>
        <w:tc>
          <w:tcPr>
            <w:tcW w:type="dxa" w:w="1008"/>
            <w:vAlign w:val="top"/>
          </w:tcPr>
          <w:p>
            <w:pPr>
              <w:spacing w:after="20"/>
            </w:pPr>
            <w:r>
              <w:rPr>
                <w:sz w:val="16"/>
              </w:rPr>
              <w:t>4</w:t>
            </w:r>
          </w:p>
        </w:tc>
        <w:tc>
          <w:tcPr>
            <w:tcW w:type="dxa" w:w="2520"/>
            <w:vAlign w:val="top"/>
          </w:tcPr>
          <w:p>
            <w:pPr>
              <w:spacing w:after="20"/>
            </w:pPr>
            <w:r>
              <w:rPr>
                <w:sz w:val="16"/>
              </w:rPr>
              <w:t>No delegation model; revocation mid-task impossible (High)</w:t>
            </w:r>
          </w:p>
        </w:tc>
        <w:tc>
          <w:tcPr>
            <w:tcW w:type="dxa" w:w="4032"/>
            <w:vAlign w:val="top"/>
          </w:tcPr>
          <w:p>
            <w:pPr>
              <w:spacing w:after="20"/>
            </w:pPr>
            <w:r>
              <w:rPr>
                <w:sz w:val="16"/>
              </w:rPr>
              <w:t>Attenuable, expiring, revocable delegation checked on every call; handles never in model context</w:t>
            </w:r>
          </w:p>
        </w:tc>
        <w:tc>
          <w:tcPr>
            <w:tcW w:type="dxa" w:w="2520"/>
            <w:vAlign w:val="top"/>
          </w:tcPr>
          <w:p>
            <w:pPr>
              <w:spacing w:after="20"/>
            </w:pPr>
            <w:r>
              <w:rPr>
                <w:sz w:val="16"/>
              </w:rPr>
              <w:t>§6.5 DEL-001–006; §24; ADR-016</w:t>
            </w:r>
          </w:p>
        </w:tc>
      </w:tr>
      <w:tr>
        <w:trPr>
          <w:cantSplit/>
        </w:trPr>
        <w:tc>
          <w:tcPr>
            <w:tcW w:type="dxa" w:w="1008"/>
            <w:vAlign w:val="top"/>
          </w:tcPr>
          <w:p>
            <w:pPr>
              <w:spacing w:after="20"/>
            </w:pPr>
            <w:r>
              <w:rPr>
                <w:sz w:val="16"/>
              </w:rPr>
              <w:t>5</w:t>
            </w:r>
          </w:p>
        </w:tc>
        <w:tc>
          <w:tcPr>
            <w:tcW w:type="dxa" w:w="2520"/>
            <w:vAlign w:val="top"/>
          </w:tcPr>
          <w:p>
            <w:pPr>
              <w:spacing w:after="20"/>
            </w:pPr>
            <w:r>
              <w:rPr>
                <w:sz w:val="16"/>
              </w:rPr>
              <w:t>Human approval required but no contract (High)</w:t>
            </w:r>
          </w:p>
        </w:tc>
        <w:tc>
          <w:tcPr>
            <w:tcW w:type="dxa" w:w="4032"/>
            <w:vAlign w:val="top"/>
          </w:tcPr>
          <w:p>
            <w:pPr>
              <w:spacing w:after="20"/>
            </w:pPr>
            <w:r>
              <w:rPr>
                <w:sz w:val="16"/>
              </w:rPr>
              <w:t>ApprovalRequest object bound to exact arguments; expiry = deny; approval-capable clients; models cannot approve</w:t>
            </w:r>
          </w:p>
        </w:tc>
        <w:tc>
          <w:tcPr>
            <w:tcW w:type="dxa" w:w="2520"/>
            <w:vAlign w:val="top"/>
          </w:tcPr>
          <w:p>
            <w:pPr>
              <w:spacing w:after="20"/>
            </w:pPr>
            <w:r>
              <w:rPr>
                <w:sz w:val="16"/>
              </w:rPr>
              <w:t>§6.6 APPR-001–006; GUI-003; §24; ADR-017</w:t>
            </w:r>
          </w:p>
        </w:tc>
      </w:tr>
      <w:tr>
        <w:trPr>
          <w:cantSplit/>
        </w:trPr>
        <w:tc>
          <w:tcPr>
            <w:tcW w:type="dxa" w:w="1008"/>
            <w:vAlign w:val="top"/>
          </w:tcPr>
          <w:p>
            <w:pPr>
              <w:spacing w:after="20"/>
            </w:pPr>
            <w:r>
              <w:rPr>
                <w:sz w:val="16"/>
              </w:rPr>
              <w:t>6</w:t>
            </w:r>
          </w:p>
        </w:tc>
        <w:tc>
          <w:tcPr>
            <w:tcW w:type="dxa" w:w="2520"/>
            <w:vAlign w:val="top"/>
          </w:tcPr>
          <w:p>
            <w:pPr>
              <w:spacing w:after="20"/>
            </w:pPr>
            <w:r>
              <w:rPr>
                <w:sz w:val="16"/>
              </w:rPr>
              <w:t>Broker resolve/invoke TOCTOU; caller-supplied authorization context (High)</w:t>
            </w:r>
          </w:p>
        </w:tc>
        <w:tc>
          <w:tcPr>
            <w:tcW w:type="dxa" w:w="4032"/>
            <w:vAlign w:val="top"/>
          </w:tcPr>
          <w:p>
            <w:pPr>
              <w:spacing w:after="20"/>
            </w:pPr>
            <w:r>
              <w:rPr>
                <w:sz w:val="16"/>
              </w:rPr>
              <w:t>Authorization at invoke time; preview is non-binding; context derived server-side</w:t>
            </w:r>
          </w:p>
        </w:tc>
        <w:tc>
          <w:tcPr>
            <w:tcW w:type="dxa" w:w="2520"/>
            <w:vAlign w:val="top"/>
          </w:tcPr>
          <w:p>
            <w:pPr>
              <w:spacing w:after="20"/>
            </w:pPr>
            <w:r>
              <w:rPr>
                <w:sz w:val="16"/>
              </w:rPr>
              <w:t>CAP-001, CAP-006; §24</w:t>
            </w:r>
          </w:p>
        </w:tc>
      </w:tr>
      <w:tr>
        <w:trPr>
          <w:cantSplit/>
        </w:trPr>
        <w:tc>
          <w:tcPr>
            <w:tcW w:type="dxa" w:w="1008"/>
            <w:vAlign w:val="top"/>
          </w:tcPr>
          <w:p>
            <w:pPr>
              <w:spacing w:after="20"/>
            </w:pPr>
            <w:r>
              <w:rPr>
                <w:sz w:val="16"/>
              </w:rPr>
              <w:t>7</w:t>
            </w:r>
          </w:p>
        </w:tc>
        <w:tc>
          <w:tcPr>
            <w:tcW w:type="dxa" w:w="2520"/>
            <w:vAlign w:val="top"/>
          </w:tcPr>
          <w:p>
            <w:pPr>
              <w:spacing w:after="20"/>
            </w:pPr>
            <w:r>
              <w:rPr>
                <w:sz w:val="16"/>
              </w:rPr>
              <w:t>Shared agent runtimes can leak state across users (High)</w:t>
            </w:r>
          </w:p>
        </w:tc>
        <w:tc>
          <w:tcPr>
            <w:tcW w:type="dxa" w:w="4032"/>
            <w:vAlign w:val="top"/>
          </w:tcPr>
          <w:p>
            <w:pPr>
              <w:spacing w:after="20"/>
            </w:pPr>
            <w:r>
              <w:rPr>
                <w:sz w:val="16"/>
              </w:rPr>
              <w:t>Runtimes stateless or per-user</w:t>
            </w:r>
          </w:p>
        </w:tc>
        <w:tc>
          <w:tcPr>
            <w:tcW w:type="dxa" w:w="2520"/>
            <w:vAlign w:val="top"/>
          </w:tcPr>
          <w:p>
            <w:pPr>
              <w:spacing w:after="20"/>
            </w:pPr>
            <w:r>
              <w:rPr>
                <w:sz w:val="16"/>
              </w:rPr>
              <w:t>USR-005</w:t>
            </w:r>
          </w:p>
        </w:tc>
      </w:tr>
      <w:tr>
        <w:trPr>
          <w:cantSplit/>
        </w:trPr>
        <w:tc>
          <w:tcPr>
            <w:tcW w:type="dxa" w:w="1008"/>
            <w:vAlign w:val="top"/>
          </w:tcPr>
          <w:p>
            <w:pPr>
              <w:spacing w:after="20"/>
            </w:pPr>
            <w:r>
              <w:rPr>
                <w:sz w:val="16"/>
              </w:rPr>
              <w:t>8</w:t>
            </w:r>
          </w:p>
        </w:tc>
        <w:tc>
          <w:tcPr>
            <w:tcW w:type="dxa" w:w="2520"/>
            <w:vAlign w:val="top"/>
          </w:tcPr>
          <w:p>
            <w:pPr>
              <w:spacing w:after="20"/>
            </w:pPr>
            <w:r>
              <w:rPr>
                <w:sz w:val="16"/>
              </w:rPr>
              <w:t>Memory writes can persist an injection (High)</w:t>
            </w:r>
          </w:p>
        </w:tc>
        <w:tc>
          <w:tcPr>
            <w:tcW w:type="dxa" w:w="4032"/>
            <w:vAlign w:val="top"/>
          </w:tcPr>
          <w:p>
            <w:pPr>
              <w:spacing w:after="20"/>
            </w:pPr>
            <w:r>
              <w:rPr>
                <w:sz w:val="16"/>
              </w:rPr>
              <w:t>Brokered memory writes; untrusted provenance; user confirmation to trust; user can inspect/delete</w:t>
            </w:r>
          </w:p>
        </w:tc>
        <w:tc>
          <w:tcPr>
            <w:tcW w:type="dxa" w:w="2520"/>
            <w:vAlign w:val="top"/>
          </w:tcPr>
          <w:p>
            <w:pPr>
              <w:spacing w:after="20"/>
            </w:pPr>
            <w:r>
              <w:rPr>
                <w:sz w:val="16"/>
              </w:rPr>
              <w:t>MEM-007–009; MemoryRecord</w:t>
            </w:r>
          </w:p>
        </w:tc>
      </w:tr>
      <w:tr>
        <w:trPr>
          <w:cantSplit/>
        </w:trPr>
        <w:tc>
          <w:tcPr>
            <w:tcW w:type="dxa" w:w="1008"/>
            <w:vAlign w:val="top"/>
          </w:tcPr>
          <w:p>
            <w:pPr>
              <w:spacing w:after="20"/>
            </w:pPr>
            <w:r>
              <w:rPr>
                <w:sz w:val="16"/>
              </w:rPr>
              <w:t>9</w:t>
            </w:r>
          </w:p>
        </w:tc>
        <w:tc>
          <w:tcPr>
            <w:tcW w:type="dxa" w:w="2520"/>
            <w:vAlign w:val="top"/>
          </w:tcPr>
          <w:p>
            <w:pPr>
              <w:spacing w:after="20"/>
            </w:pPr>
            <w:r>
              <w:rPr>
                <w:sz w:val="16"/>
              </w:rPr>
              <w:t>Dual VRAM scheduling authority with Ollama (High)</w:t>
            </w:r>
          </w:p>
        </w:tc>
        <w:tc>
          <w:tcPr>
            <w:tcW w:type="dxa" w:w="4032"/>
            <w:vAlign w:val="top"/>
          </w:tcPr>
          <w:p>
            <w:pPr>
              <w:spacing w:after="20"/>
            </w:pPr>
            <w:r>
              <w:rPr>
                <w:sz w:val="16"/>
              </w:rPr>
              <w:t>One residency authority per runtime; Freya sets budgets; NVML observation; gaming mode defined</w:t>
            </w:r>
          </w:p>
        </w:tc>
        <w:tc>
          <w:tcPr>
            <w:tcW w:type="dxa" w:w="2520"/>
            <w:vAlign w:val="top"/>
          </w:tcPr>
          <w:p>
            <w:pPr>
              <w:spacing w:after="20"/>
            </w:pPr>
            <w:r>
              <w:rPr>
                <w:sz w:val="16"/>
              </w:rPr>
              <w:t>RES-002, RES-008, RES-009; ModelInstance; ADR-007</w:t>
            </w:r>
          </w:p>
        </w:tc>
      </w:tr>
      <w:tr>
        <w:trPr>
          <w:cantSplit/>
        </w:trPr>
        <w:tc>
          <w:tcPr>
            <w:tcW w:type="dxa" w:w="1008"/>
            <w:vAlign w:val="top"/>
          </w:tcPr>
          <w:p>
            <w:pPr>
              <w:spacing w:after="20"/>
            </w:pPr>
            <w:r>
              <w:rPr>
                <w:sz w:val="16"/>
              </w:rPr>
              <w:t>10</w:t>
            </w:r>
          </w:p>
        </w:tc>
        <w:tc>
          <w:tcPr>
            <w:tcW w:type="dxa" w:w="2520"/>
            <w:vAlign w:val="top"/>
          </w:tcPr>
          <w:p>
            <w:pPr>
              <w:spacing w:after="20"/>
            </w:pPr>
            <w:r>
              <w:rPr>
                <w:sz w:val="16"/>
              </w:rPr>
              <w:t>Cached policy fallback undermines fail-closed (Medium)</w:t>
            </w:r>
          </w:p>
        </w:tc>
        <w:tc>
          <w:tcPr>
            <w:tcW w:type="dxa" w:w="4032"/>
            <w:vAlign w:val="top"/>
          </w:tcPr>
          <w:p>
            <w:pPr>
              <w:spacing w:after="20"/>
            </w:pPr>
            <w:r>
              <w:rPr>
                <w:sz w:val="16"/>
              </w:rPr>
              <w:t>In-process policy in v1; deny-only / read-only bounded caching</w:t>
            </w:r>
          </w:p>
        </w:tc>
        <w:tc>
          <w:tcPr>
            <w:tcW w:type="dxa" w:w="2520"/>
            <w:vAlign w:val="top"/>
          </w:tcPr>
          <w:p>
            <w:pPr>
              <w:spacing w:after="20"/>
            </w:pPr>
            <w:r>
              <w:rPr>
                <w:sz w:val="16"/>
              </w:rPr>
              <w:t>SEC-001, SEC-017; §19; ADR-021</w:t>
            </w:r>
          </w:p>
        </w:tc>
      </w:tr>
      <w:tr>
        <w:trPr>
          <w:cantSplit/>
        </w:trPr>
        <w:tc>
          <w:tcPr>
            <w:tcW w:type="dxa" w:w="1008"/>
            <w:vAlign w:val="top"/>
          </w:tcPr>
          <w:p>
            <w:pPr>
              <w:spacing w:after="20"/>
            </w:pPr>
            <w:r>
              <w:rPr>
                <w:sz w:val="16"/>
              </w:rPr>
              <w:t>11</w:t>
            </w:r>
          </w:p>
        </w:tc>
        <w:tc>
          <w:tcPr>
            <w:tcW w:type="dxa" w:w="2520"/>
            <w:vAlign w:val="top"/>
          </w:tcPr>
          <w:p>
            <w:pPr>
              <w:spacing w:after="20"/>
            </w:pPr>
            <w:r>
              <w:rPr>
                <w:sz w:val="16"/>
              </w:rPr>
              <w:t>In-process providers contradict crash containment (Medium)</w:t>
            </w:r>
          </w:p>
        </w:tc>
        <w:tc>
          <w:tcPr>
            <w:tcW w:type="dxa" w:w="4032"/>
            <w:vAlign w:val="top"/>
          </w:tcPr>
          <w:p>
            <w:pPr>
              <w:spacing w:after="20"/>
            </w:pPr>
            <w:r>
              <w:rPr>
                <w:sz w:val="16"/>
              </w:rPr>
              <w:t>Third-party providers out of process; in-process only for Tier 0 first-party</w:t>
            </w:r>
          </w:p>
        </w:tc>
        <w:tc>
          <w:tcPr>
            <w:tcW w:type="dxa" w:w="2520"/>
            <w:vAlign w:val="top"/>
          </w:tcPr>
          <w:p>
            <w:pPr>
              <w:spacing w:after="20"/>
            </w:pPr>
            <w:r>
              <w:rPr>
                <w:sz w:val="16"/>
              </w:rPr>
              <w:t>PROV-004; ARCH-002</w:t>
            </w:r>
          </w:p>
        </w:tc>
      </w:tr>
      <w:tr>
        <w:trPr>
          <w:cantSplit/>
        </w:trPr>
        <w:tc>
          <w:tcPr>
            <w:tcW w:type="dxa" w:w="1008"/>
            <w:vAlign w:val="top"/>
          </w:tcPr>
          <w:p>
            <w:pPr>
              <w:spacing w:after="20"/>
            </w:pPr>
            <w:r>
              <w:rPr>
                <w:sz w:val="16"/>
              </w:rPr>
              <w:t>12</w:t>
            </w:r>
          </w:p>
        </w:tc>
        <w:tc>
          <w:tcPr>
            <w:tcW w:type="dxa" w:w="2520"/>
            <w:vAlign w:val="top"/>
          </w:tcPr>
          <w:p>
            <w:pPr>
              <w:spacing w:after="20"/>
            </w:pPr>
            <w:r>
              <w:rPr>
                <w:sz w:val="16"/>
              </w:rPr>
              <w:t>MCP tool definitions can change after approval (Medium)</w:t>
            </w:r>
          </w:p>
        </w:tc>
        <w:tc>
          <w:tcPr>
            <w:tcW w:type="dxa" w:w="4032"/>
            <w:vAlign w:val="top"/>
          </w:tcPr>
          <w:p>
            <w:pPr>
              <w:spacing w:after="20"/>
            </w:pPr>
            <w:r>
              <w:rPr>
                <w:sz w:val="16"/>
              </w:rPr>
              <w:t>Definitions pinned by hash; change disables tool; tool text is untrusted</w:t>
            </w:r>
          </w:p>
        </w:tc>
        <w:tc>
          <w:tcPr>
            <w:tcW w:type="dxa" w:w="2520"/>
            <w:vAlign w:val="top"/>
          </w:tcPr>
          <w:p>
            <w:pPr>
              <w:spacing w:after="20"/>
            </w:pPr>
            <w:r>
              <w:rPr>
                <w:sz w:val="16"/>
              </w:rPr>
              <w:t>EXT-006, EXT-007; §13</w:t>
            </w:r>
          </w:p>
        </w:tc>
      </w:tr>
      <w:tr>
        <w:trPr>
          <w:cantSplit/>
        </w:trPr>
        <w:tc>
          <w:tcPr>
            <w:tcW w:type="dxa" w:w="1008"/>
            <w:vAlign w:val="top"/>
          </w:tcPr>
          <w:p>
            <w:pPr>
              <w:spacing w:after="20"/>
            </w:pPr>
            <w:r>
              <w:rPr>
                <w:sz w:val="16"/>
              </w:rPr>
              <w:t>13</w:t>
            </w:r>
          </w:p>
        </w:tc>
        <w:tc>
          <w:tcPr>
            <w:tcW w:type="dxa" w:w="2520"/>
            <w:vAlign w:val="top"/>
          </w:tcPr>
          <w:p>
            <w:pPr>
              <w:spacing w:after="20"/>
            </w:pPr>
            <w:r>
              <w:rPr>
                <w:sz w:val="16"/>
              </w:rPr>
              <w:t>Retries can repeat physical/non-idempotent actions (Medium)</w:t>
            </w:r>
          </w:p>
        </w:tc>
        <w:tc>
          <w:tcPr>
            <w:tcW w:type="dxa" w:w="4032"/>
            <w:vAlign w:val="top"/>
          </w:tcPr>
          <w:p>
            <w:pPr>
              <w:spacing w:after="20"/>
            </w:pPr>
            <w:r>
              <w:rPr>
                <w:sz w:val="16"/>
              </w:rPr>
              <w:t>Idempotency keys; at-most-once for non-idempotent; outcome_unknown resolved by a human</w:t>
            </w:r>
          </w:p>
        </w:tc>
        <w:tc>
          <w:tcPr>
            <w:tcW w:type="dxa" w:w="2520"/>
            <w:vAlign w:val="top"/>
          </w:tcPr>
          <w:p>
            <w:pPr>
              <w:spacing w:after="20"/>
            </w:pPr>
            <w:r>
              <w:rPr>
                <w:sz w:val="16"/>
              </w:rPr>
              <w:t>ORCH-006; CAP-003; PHY-004; ADR-020</w:t>
            </w:r>
          </w:p>
        </w:tc>
      </w:tr>
      <w:tr>
        <w:trPr>
          <w:cantSplit/>
        </w:trPr>
        <w:tc>
          <w:tcPr>
            <w:tcW w:type="dxa" w:w="1008"/>
            <w:vAlign w:val="top"/>
          </w:tcPr>
          <w:p>
            <w:pPr>
              <w:spacing w:after="20"/>
            </w:pPr>
            <w:r>
              <w:rPr>
                <w:sz w:val="16"/>
              </w:rPr>
              <w:t>14</w:t>
            </w:r>
          </w:p>
        </w:tc>
        <w:tc>
          <w:tcPr>
            <w:tcW w:type="dxa" w:w="2520"/>
            <w:vAlign w:val="top"/>
          </w:tcPr>
          <w:p>
            <w:pPr>
              <w:spacing w:after="20"/>
            </w:pPr>
            <w:r>
              <w:rPr>
                <w:sz w:val="16"/>
              </w:rPr>
              <w:t>Local gateway exposed to other processes and web pages (Medium)</w:t>
            </w:r>
          </w:p>
        </w:tc>
        <w:tc>
          <w:tcPr>
            <w:tcW w:type="dxa" w:w="4032"/>
            <w:vAlign w:val="top"/>
          </w:tcPr>
          <w:p>
            <w:pPr>
              <w:spacing w:after="20"/>
            </w:pPr>
            <w:r>
              <w:rPr>
                <w:sz w:val="16"/>
              </w:rPr>
              <w:t>Loopback only, per-client credentials, Origin checks, no wildcard CORS</w:t>
            </w:r>
          </w:p>
        </w:tc>
        <w:tc>
          <w:tcPr>
            <w:tcW w:type="dxa" w:w="2520"/>
            <w:vAlign w:val="top"/>
          </w:tcPr>
          <w:p>
            <w:pPr>
              <w:spacing w:after="20"/>
            </w:pPr>
            <w:r>
              <w:rPr>
                <w:sz w:val="16"/>
              </w:rPr>
              <w:t>GUI-008</w:t>
            </w:r>
          </w:p>
        </w:tc>
      </w:tr>
      <w:tr>
        <w:trPr>
          <w:cantSplit/>
        </w:trPr>
        <w:tc>
          <w:tcPr>
            <w:tcW w:type="dxa" w:w="1008"/>
            <w:vAlign w:val="top"/>
          </w:tcPr>
          <w:p>
            <w:pPr>
              <w:spacing w:after="20"/>
            </w:pPr>
            <w:r>
              <w:rPr>
                <w:sz w:val="16"/>
              </w:rPr>
              <w:t>15</w:t>
            </w:r>
          </w:p>
        </w:tc>
        <w:tc>
          <w:tcPr>
            <w:tcW w:type="dxa" w:w="2520"/>
            <w:vAlign w:val="top"/>
          </w:tcPr>
          <w:p>
            <w:pPr>
              <w:spacing w:after="20"/>
            </w:pPr>
            <w:r>
              <w:rPr>
                <w:sz w:val="16"/>
              </w:rPr>
              <w:t>Licensing ignores model weights, datasets, API terms, Docker Desktop (Medium)</w:t>
            </w:r>
          </w:p>
        </w:tc>
        <w:tc>
          <w:tcPr>
            <w:tcW w:type="dxa" w:w="4032"/>
            <w:vAlign w:val="top"/>
          </w:tcPr>
          <w:p>
            <w:pPr>
              <w:spacing w:after="20"/>
            </w:pPr>
            <w:r>
              <w:rPr>
                <w:sz w:val="16"/>
              </w:rPr>
              <w:t>Manifest covers weights/datasets/services; license required in model catalog; API retention terms in escalation</w:t>
            </w:r>
          </w:p>
        </w:tc>
        <w:tc>
          <w:tcPr>
            <w:tcW w:type="dxa" w:w="2520"/>
            <w:vAlign w:val="top"/>
          </w:tcPr>
          <w:p>
            <w:pPr>
              <w:spacing w:after="20"/>
            </w:pPr>
            <w:r>
              <w:rPr>
                <w:sz w:val="16"/>
              </w:rPr>
              <w:t>LIC-001, LIC-002, LIC-006–008; §17</w:t>
            </w:r>
          </w:p>
        </w:tc>
      </w:tr>
      <w:tr>
        <w:trPr>
          <w:cantSplit/>
        </w:trPr>
        <w:tc>
          <w:tcPr>
            <w:tcW w:type="dxa" w:w="1008"/>
            <w:vAlign w:val="top"/>
          </w:tcPr>
          <w:p>
            <w:pPr>
              <w:spacing w:after="20"/>
            </w:pPr>
            <w:r>
              <w:rPr>
                <w:sz w:val="16"/>
              </w:rPr>
              <w:t>16</w:t>
            </w:r>
          </w:p>
        </w:tc>
        <w:tc>
          <w:tcPr>
            <w:tcW w:type="dxa" w:w="2520"/>
            <w:vAlign w:val="top"/>
          </w:tcPr>
          <w:p>
            <w:pPr>
              <w:spacing w:after="20"/>
            </w:pPr>
            <w:r>
              <w:rPr>
                <w:sz w:val="16"/>
              </w:rPr>
              <w:t>Tamper-evident audit conflicts with forgetting (Medium)</w:t>
            </w:r>
          </w:p>
        </w:tc>
        <w:tc>
          <w:tcPr>
            <w:tcW w:type="dxa" w:w="4032"/>
            <w:vAlign w:val="top"/>
          </w:tcPr>
          <w:p>
            <w:pPr>
              <w:spacing w:after="20"/>
            </w:pPr>
            <w:r>
              <w:rPr>
                <w:sz w:val="16"/>
              </w:rPr>
              <w:t>Audit stores identifiers and hashes, not content</w:t>
            </w:r>
          </w:p>
        </w:tc>
        <w:tc>
          <w:tcPr>
            <w:tcW w:type="dxa" w:w="2520"/>
            <w:vAlign w:val="top"/>
          </w:tcPr>
          <w:p>
            <w:pPr>
              <w:spacing w:after="20"/>
            </w:pPr>
            <w:r>
              <w:rPr>
                <w:sz w:val="16"/>
              </w:rPr>
              <w:t>SEC-018; MEM-009</w:t>
            </w:r>
          </w:p>
        </w:tc>
      </w:tr>
      <w:tr>
        <w:trPr>
          <w:cantSplit/>
        </w:trPr>
        <w:tc>
          <w:tcPr>
            <w:tcW w:type="dxa" w:w="1008"/>
            <w:vAlign w:val="top"/>
          </w:tcPr>
          <w:p>
            <w:pPr>
              <w:spacing w:after="20"/>
            </w:pPr>
            <w:r>
              <w:rPr>
                <w:sz w:val="16"/>
              </w:rPr>
              <w:t>17</w:t>
            </w:r>
          </w:p>
        </w:tc>
        <w:tc>
          <w:tcPr>
            <w:tcW w:type="dxa" w:w="2520"/>
            <w:vAlign w:val="top"/>
          </w:tcPr>
          <w:p>
            <w:pPr>
              <w:spacing w:after="20"/>
            </w:pPr>
            <w:r>
              <w:rPr>
                <w:sz w:val="16"/>
              </w:rPr>
              <w:t>No boundary on agent self-modification (Medium)</w:t>
            </w:r>
          </w:p>
        </w:tc>
        <w:tc>
          <w:tcPr>
            <w:tcW w:type="dxa" w:w="4032"/>
            <w:vAlign w:val="top"/>
          </w:tcPr>
          <w:p>
            <w:pPr>
              <w:spacing w:after="20"/>
            </w:pPr>
            <w:r>
              <w:rPr>
                <w:sz w:val="16"/>
              </w:rPr>
              <w:t>Agents propose, humans approve, releases apply</w:t>
            </w:r>
          </w:p>
        </w:tc>
        <w:tc>
          <w:tcPr>
            <w:tcW w:type="dxa" w:w="2520"/>
            <w:vAlign w:val="top"/>
          </w:tcPr>
          <w:p>
            <w:pPr>
              <w:spacing w:after="20"/>
            </w:pPr>
            <w:r>
              <w:rPr>
                <w:sz w:val="16"/>
              </w:rPr>
              <w:t>ARCH-023; MEM-006; GUI-007; ADR-019</w:t>
            </w:r>
          </w:p>
        </w:tc>
      </w:tr>
      <w:tr>
        <w:trPr>
          <w:cantSplit/>
        </w:trPr>
        <w:tc>
          <w:tcPr>
            <w:tcW w:type="dxa" w:w="1008"/>
            <w:vAlign w:val="top"/>
          </w:tcPr>
          <w:p>
            <w:pPr>
              <w:spacing w:after="20"/>
            </w:pPr>
            <w:r>
              <w:rPr>
                <w:sz w:val="16"/>
              </w:rPr>
              <w:t>18</w:t>
            </w:r>
          </w:p>
        </w:tc>
        <w:tc>
          <w:tcPr>
            <w:tcW w:type="dxa" w:w="2520"/>
            <w:vAlign w:val="top"/>
          </w:tcPr>
          <w:p>
            <w:pPr>
              <w:spacing w:after="20"/>
            </w:pPr>
            <w:r>
              <w:rPr>
                <w:sz w:val="16"/>
              </w:rPr>
              <w:t>Untestable requirements (Medium)</w:t>
            </w:r>
          </w:p>
        </w:tc>
        <w:tc>
          <w:tcPr>
            <w:tcW w:type="dxa" w:w="4032"/>
            <w:vAlign w:val="top"/>
          </w:tcPr>
          <w:p>
            <w:pPr>
              <w:spacing w:after="20"/>
            </w:pPr>
            <w:r>
              <w:rPr>
                <w:sz w:val="16"/>
              </w:rPr>
              <w:t>Rewrote with objective criteria; defined "unrelated" via dependency graph</w:t>
            </w:r>
          </w:p>
        </w:tc>
        <w:tc>
          <w:tcPr>
            <w:tcW w:type="dxa" w:w="2520"/>
            <w:vAlign w:val="top"/>
          </w:tcPr>
          <w:p>
            <w:pPr>
              <w:spacing w:after="20"/>
            </w:pPr>
            <w:r>
              <w:rPr>
                <w:sz w:val="16"/>
              </w:rPr>
              <w:t>ARCH-002, ARCH-012, ESC-001, ESC-002, V1-002</w:t>
            </w:r>
          </w:p>
        </w:tc>
      </w:tr>
      <w:tr>
        <w:trPr>
          <w:cantSplit/>
        </w:trPr>
        <w:tc>
          <w:tcPr>
            <w:tcW w:type="dxa" w:w="1008"/>
            <w:vAlign w:val="top"/>
          </w:tcPr>
          <w:p>
            <w:pPr>
              <w:spacing w:after="20"/>
            </w:pPr>
            <w:r>
              <w:rPr>
                <w:sz w:val="16"/>
              </w:rPr>
              <w:t>19</w:t>
            </w:r>
          </w:p>
        </w:tc>
        <w:tc>
          <w:tcPr>
            <w:tcW w:type="dxa" w:w="2520"/>
            <w:vAlign w:val="top"/>
          </w:tcPr>
          <w:p>
            <w:pPr>
              <w:spacing w:after="20"/>
            </w:pPr>
            <w:r>
              <w:rPr>
                <w:sz w:val="16"/>
              </w:rPr>
              <w:t>Overengineering for v1 (Medium)</w:t>
            </w:r>
          </w:p>
        </w:tc>
        <w:tc>
          <w:tcPr>
            <w:tcW w:type="dxa" w:w="4032"/>
            <w:vAlign w:val="top"/>
          </w:tcPr>
          <w:p>
            <w:pPr>
              <w:spacing w:after="20"/>
            </w:pPr>
            <w:r>
              <w:rPr>
                <w:sz w:val="16"/>
              </w:rPr>
              <w:t>Federation moved to Appendix A; named-technology SHOULDs are post-v1 unless in "Implement now"</w:t>
            </w:r>
          </w:p>
        </w:tc>
        <w:tc>
          <w:tcPr>
            <w:tcW w:type="dxa" w:w="2520"/>
            <w:vAlign w:val="top"/>
          </w:tcPr>
          <w:p>
            <w:pPr>
              <w:spacing w:after="20"/>
            </w:pPr>
            <w:r>
              <w:rPr>
                <w:sz w:val="16"/>
              </w:rPr>
              <w:t>§6.2; Appendix A; V1-004</w:t>
            </w:r>
          </w:p>
        </w:tc>
      </w:tr>
      <w:tr>
        <w:trPr>
          <w:cantSplit/>
        </w:trPr>
        <w:tc>
          <w:tcPr>
            <w:tcW w:type="dxa" w:w="1008"/>
            <w:vAlign w:val="top"/>
          </w:tcPr>
          <w:p>
            <w:pPr>
              <w:spacing w:after="20"/>
            </w:pPr>
            <w:r>
              <w:rPr>
                <w:sz w:val="16"/>
              </w:rPr>
              <w:t>20</w:t>
            </w:r>
          </w:p>
        </w:tc>
        <w:tc>
          <w:tcPr>
            <w:tcW w:type="dxa" w:w="2520"/>
            <w:vAlign w:val="top"/>
          </w:tcPr>
          <w:p>
            <w:pPr>
              <w:spacing w:after="20"/>
            </w:pPr>
            <w:r>
              <w:rPr>
                <w:sz w:val="16"/>
              </w:rPr>
              <w:t>No task budgets or stop conditions (Medium)</w:t>
            </w:r>
          </w:p>
        </w:tc>
        <w:tc>
          <w:tcPr>
            <w:tcW w:type="dxa" w:w="4032"/>
            <w:vAlign w:val="top"/>
          </w:tcPr>
          <w:p>
            <w:pPr>
              <w:spacing w:after="20"/>
            </w:pPr>
            <w:r>
              <w:rPr>
                <w:sz w:val="16"/>
              </w:rPr>
              <w:t>Per-task budgets for steps, tokens, time, cost</w:t>
            </w:r>
          </w:p>
        </w:tc>
        <w:tc>
          <w:tcPr>
            <w:tcW w:type="dxa" w:w="2520"/>
            <w:vAlign w:val="top"/>
          </w:tcPr>
          <w:p>
            <w:pPr>
              <w:spacing w:after="20"/>
            </w:pPr>
            <w:r>
              <w:rPr>
                <w:sz w:val="16"/>
              </w:rPr>
              <w:t>ORCH-007</w:t>
            </w:r>
          </w:p>
        </w:tc>
      </w:tr>
      <w:tr>
        <w:trPr>
          <w:cantSplit/>
        </w:trPr>
        <w:tc>
          <w:tcPr>
            <w:tcW w:type="dxa" w:w="1008"/>
            <w:vAlign w:val="top"/>
          </w:tcPr>
          <w:p>
            <w:pPr>
              <w:spacing w:after="20"/>
            </w:pPr>
            <w:r>
              <w:rPr>
                <w:sz w:val="16"/>
              </w:rPr>
              <w:t>21</w:t>
            </w:r>
          </w:p>
        </w:tc>
        <w:tc>
          <w:tcPr>
            <w:tcW w:type="dxa" w:w="2520"/>
            <w:vAlign w:val="top"/>
          </w:tcPr>
          <w:p>
            <w:pPr>
              <w:spacing w:after="20"/>
            </w:pPr>
            <w:r>
              <w:rPr>
                <w:sz w:val="16"/>
              </w:rPr>
              <w:t>Backups could restore live authority (Low)</w:t>
            </w:r>
          </w:p>
        </w:tc>
        <w:tc>
          <w:tcPr>
            <w:tcW w:type="dxa" w:w="4032"/>
            <w:vAlign w:val="top"/>
          </w:tcPr>
          <w:p>
            <w:pPr>
              <w:spacing w:after="20"/>
            </w:pPr>
            <w:r>
              <w:rPr>
                <w:sz w:val="16"/>
              </w:rPr>
              <w:t>Restored delegations and approvals are expired</w:t>
            </w:r>
          </w:p>
        </w:tc>
        <w:tc>
          <w:tcPr>
            <w:tcW w:type="dxa" w:w="2520"/>
            <w:vAlign w:val="top"/>
          </w:tcPr>
          <w:p>
            <w:pPr>
              <w:spacing w:after="20"/>
            </w:pPr>
            <w:r>
              <w:rPr>
                <w:sz w:val="16"/>
              </w:rPr>
              <w:t>OPS-007</w:t>
            </w:r>
          </w:p>
        </w:tc>
      </w:tr>
      <w:tr>
        <w:trPr>
          <w:cantSplit/>
        </w:trPr>
        <w:tc>
          <w:tcPr>
            <w:tcW w:type="dxa" w:w="1008"/>
            <w:vAlign w:val="top"/>
          </w:tcPr>
          <w:p>
            <w:pPr>
              <w:spacing w:after="20"/>
            </w:pPr>
            <w:r>
              <w:rPr>
                <w:sz w:val="16"/>
              </w:rPr>
              <w:t>22</w:t>
            </w:r>
          </w:p>
        </w:tc>
        <w:tc>
          <w:tcPr>
            <w:tcW w:type="dxa" w:w="2520"/>
            <w:vAlign w:val="top"/>
          </w:tcPr>
          <w:p>
            <w:pPr>
              <w:spacing w:after="20"/>
            </w:pPr>
            <w:r>
              <w:rPr>
                <w:sz w:val="16"/>
              </w:rPr>
              <w:t>Distribution lacks fencing (Low, post-v1)</w:t>
            </w:r>
          </w:p>
        </w:tc>
        <w:tc>
          <w:tcPr>
            <w:tcW w:type="dxa" w:w="4032"/>
            <w:vAlign w:val="top"/>
          </w:tcPr>
          <w:p>
            <w:pPr>
              <w:spacing w:after="20"/>
            </w:pPr>
            <w:r>
              <w:rPr>
                <w:sz w:val="16"/>
              </w:rPr>
              <w:t>Leases with fencing tokens when distribution arrives</w:t>
            </w:r>
          </w:p>
        </w:tc>
        <w:tc>
          <w:tcPr>
            <w:tcW w:type="dxa" w:w="2520"/>
            <w:vAlign w:val="top"/>
          </w:tcPr>
          <w:p>
            <w:pPr>
              <w:spacing w:after="20"/>
            </w:pPr>
            <w:r>
              <w:rPr>
                <w:sz w:val="16"/>
              </w:rPr>
              <w:t>DIST-007</w:t>
            </w:r>
          </w:p>
        </w:tc>
      </w:tr>
      <w:tr>
        <w:trPr>
          <w:cantSplit/>
        </w:trPr>
        <w:tc>
          <w:tcPr>
            <w:tcW w:type="dxa" w:w="1008"/>
            <w:vAlign w:val="top"/>
          </w:tcPr>
          <w:p>
            <w:pPr>
              <w:spacing w:after="20"/>
            </w:pPr>
            <w:r>
              <w:rPr>
                <w:sz w:val="16"/>
              </w:rPr>
              <w:t>23</w:t>
            </w:r>
          </w:p>
        </w:tc>
        <w:tc>
          <w:tcPr>
            <w:tcW w:type="dxa" w:w="2520"/>
            <w:vAlign w:val="top"/>
          </w:tcPr>
          <w:p>
            <w:pPr>
              <w:spacing w:after="20"/>
            </w:pPr>
            <w:r>
              <w:rPr>
                <w:sz w:val="16"/>
              </w:rPr>
              <w:t>Open questions unresolved</w:t>
            </w:r>
          </w:p>
        </w:tc>
        <w:tc>
          <w:tcPr>
            <w:tcW w:type="dxa" w:w="4032"/>
            <w:vAlign w:val="top"/>
          </w:tcPr>
          <w:p>
            <w:pPr>
              <w:spacing w:after="20"/>
            </w:pPr>
            <w:r>
              <w:rPr>
                <w:sz w:val="16"/>
              </w:rPr>
              <w:t>All ten resolved for v1</w:t>
            </w:r>
          </w:p>
        </w:tc>
        <w:tc>
          <w:tcPr>
            <w:tcW w:type="dxa" w:w="2520"/>
            <w:vAlign w:val="top"/>
          </w:tcPr>
          <w:p>
            <w:pPr>
              <w:spacing w:after="20"/>
            </w:pPr>
            <w:r>
              <w:rPr>
                <w:sz w:val="16"/>
              </w:rPr>
              <w:t>§28; ADR-018, ADR-021</w:t>
            </w:r>
          </w:p>
        </w:tc>
      </w:tr>
      <w:tr>
        <w:trPr>
          <w:cantSplit/>
        </w:trPr>
        <w:tc>
          <w:tcPr>
            <w:tcW w:type="dxa" w:w="1008"/>
            <w:vAlign w:val="top"/>
          </w:tcPr>
          <w:p>
            <w:pPr>
              <w:spacing w:after="20"/>
            </w:pPr>
            <w:r>
              <w:rPr>
                <w:sz w:val="16"/>
              </w:rPr>
              <w:t>24</w:t>
            </w:r>
          </w:p>
        </w:tc>
        <w:tc>
          <w:tcPr>
            <w:tcW w:type="dxa" w:w="2520"/>
            <w:vAlign w:val="top"/>
          </w:tcPr>
          <w:p>
            <w:pPr>
              <w:spacing w:after="20"/>
            </w:pPr>
            <w:r>
              <w:rPr>
                <w:sz w:val="16"/>
              </w:rPr>
              <w:t>Test coverage</w:t>
            </w:r>
          </w:p>
        </w:tc>
        <w:tc>
          <w:tcPr>
            <w:tcW w:type="dxa" w:w="4032"/>
            <w:vAlign w:val="top"/>
          </w:tcPr>
          <w:p>
            <w:pPr>
              <w:spacing w:after="20"/>
            </w:pPr>
            <w:r>
              <w:rPr>
                <w:sz w:val="16"/>
              </w:rPr>
              <w:t>Failure table expanded; every row automated; prompt-injection corpus</w:t>
            </w:r>
          </w:p>
        </w:tc>
        <w:tc>
          <w:tcPr>
            <w:tcW w:type="dxa" w:w="2520"/>
            <w:vAlign w:val="top"/>
          </w:tcPr>
          <w:p>
            <w:pPr>
              <w:spacing w:after="20"/>
            </w:pPr>
            <w:r>
              <w:rPr>
                <w:sz w:val="16"/>
              </w:rPr>
              <w:t>§19; TEST-004, TEST-005; §25</w:t>
            </w:r>
          </w:p>
        </w:tc>
      </w:tr>
      <w:tr>
        <w:trPr>
          <w:cantSplit/>
        </w:trPr>
        <w:tc>
          <w:tcPr>
            <w:tcW w:type="dxa" w:w="1008"/>
            <w:vAlign w:val="top"/>
          </w:tcPr>
          <w:p>
            <w:pPr>
              <w:spacing w:after="20"/>
            </w:pPr>
            <w:r>
              <w:rPr>
                <w:sz w:val="16"/>
              </w:rPr>
              <w:t>25</w:t>
            </w:r>
          </w:p>
        </w:tc>
        <w:tc>
          <w:tcPr>
            <w:tcW w:type="dxa" w:w="2520"/>
            <w:vAlign w:val="top"/>
          </w:tcPr>
          <w:p>
            <w:pPr>
              <w:spacing w:after="20"/>
            </w:pPr>
            <w:r>
              <w:rPr>
                <w:sz w:val="16"/>
              </w:rPr>
              <w:t>Self-review: strict mode would demand approval for harmless internal writes (Medium)</w:t>
            </w:r>
          </w:p>
        </w:tc>
        <w:tc>
          <w:tcPr>
            <w:tcW w:type="dxa" w:w="4032"/>
            <w:vAlign w:val="top"/>
          </w:tcPr>
          <w:p>
            <w:pPr>
              <w:spacing w:after="20"/>
            </w:pPr>
            <w:r>
              <w:rPr>
                <w:sz w:val="16"/>
              </w:rPr>
              <w:t>Writes into stores already labeled untrusted are not consequential</w:t>
            </w:r>
          </w:p>
        </w:tc>
        <w:tc>
          <w:tcPr>
            <w:tcW w:type="dxa" w:w="2520"/>
            <w:vAlign w:val="top"/>
          </w:tcPr>
          <w:p>
            <w:pPr>
              <w:spacing w:after="20"/>
            </w:pPr>
            <w:r>
              <w:rPr>
                <w:sz w:val="16"/>
              </w:rPr>
              <w:t>SEC-013a</w:t>
            </w:r>
          </w:p>
        </w:tc>
      </w:tr>
      <w:tr>
        <w:trPr>
          <w:cantSplit/>
        </w:trPr>
        <w:tc>
          <w:tcPr>
            <w:tcW w:type="dxa" w:w="1008"/>
            <w:vAlign w:val="top"/>
          </w:tcPr>
          <w:p>
            <w:pPr>
              <w:spacing w:after="20"/>
            </w:pPr>
            <w:r>
              <w:rPr>
                <w:sz w:val="16"/>
              </w:rPr>
              <w:t>26</w:t>
            </w:r>
          </w:p>
        </w:tc>
        <w:tc>
          <w:tcPr>
            <w:tcW w:type="dxa" w:w="2520"/>
            <w:vAlign w:val="top"/>
          </w:tcPr>
          <w:p>
            <w:pPr>
              <w:spacing w:after="20"/>
            </w:pPr>
            <w:r>
              <w:rPr>
                <w:sz w:val="16"/>
              </w:rPr>
              <w:t>Self-review: grant set origin undefined; planner could be steered into broad grants (High)</w:t>
            </w:r>
          </w:p>
        </w:tc>
        <w:tc>
          <w:tcPr>
            <w:tcW w:type="dxa" w:w="4032"/>
            <w:vAlign w:val="top"/>
          </w:tcPr>
          <w:p>
            <w:pPr>
              <w:spacing w:after="20"/>
            </w:pPr>
            <w:r>
              <w:rPr>
                <w:sz w:val="16"/>
              </w:rPr>
              <w:t>Grants come from task profiles or a pre-ingestion planner proposal; over-profile proposals need approval</w:t>
            </w:r>
          </w:p>
        </w:tc>
        <w:tc>
          <w:tcPr>
            <w:tcW w:type="dxa" w:w="2520"/>
            <w:vAlign w:val="top"/>
          </w:tcPr>
          <w:p>
            <w:pPr>
              <w:spacing w:after="20"/>
            </w:pPr>
            <w:r>
              <w:rPr>
                <w:sz w:val="16"/>
              </w:rPr>
              <w:t>DEL-007</w:t>
            </w:r>
          </w:p>
        </w:tc>
      </w:tr>
      <w:tr>
        <w:trPr>
          <w:cantSplit/>
        </w:trPr>
        <w:tc>
          <w:tcPr>
            <w:tcW w:type="dxa" w:w="1008"/>
            <w:vAlign w:val="top"/>
          </w:tcPr>
          <w:p>
            <w:pPr>
              <w:spacing w:after="20"/>
            </w:pPr>
            <w:r>
              <w:rPr>
                <w:sz w:val="16"/>
              </w:rPr>
              <w:t>27</w:t>
            </w:r>
          </w:p>
        </w:tc>
        <w:tc>
          <w:tcPr>
            <w:tcW w:type="dxa" w:w="2520"/>
            <w:vAlign w:val="top"/>
          </w:tcPr>
          <w:p>
            <w:pPr>
              <w:spacing w:after="20"/>
            </w:pPr>
            <w:r>
              <w:rPr>
                <w:sz w:val="16"/>
              </w:rPr>
              <w:t>Self-review: web fetches are an exfiltration path that strict mode makes unusable or unsafe (High)</w:t>
            </w:r>
          </w:p>
        </w:tc>
        <w:tc>
          <w:tcPr>
            <w:tcW w:type="dxa" w:w="4032"/>
            <w:vAlign w:val="top"/>
          </w:tcPr>
          <w:p>
            <w:pPr>
              <w:spacing w:after="20"/>
            </w:pPr>
            <w:r>
              <w:rPr>
                <w:sz w:val="16"/>
              </w:rPr>
              <w:t>URL fetch is egress; standing policy may allow verbatim URLs from trusted input or search results only</w:t>
            </w:r>
          </w:p>
        </w:tc>
        <w:tc>
          <w:tcPr>
            <w:tcW w:type="dxa" w:w="2520"/>
            <w:vAlign w:val="top"/>
          </w:tcPr>
          <w:p>
            <w:pPr>
              <w:spacing w:after="20"/>
            </w:pPr>
            <w:r>
              <w:rPr>
                <w:sz w:val="16"/>
              </w:rPr>
              <w:t>SEC-019</w:t>
            </w:r>
          </w:p>
        </w:tc>
      </w:tr>
      <w:tr>
        <w:trPr>
          <w:cantSplit/>
        </w:trPr>
        <w:tc>
          <w:tcPr>
            <w:tcW w:type="dxa" w:w="1008"/>
            <w:vAlign w:val="top"/>
          </w:tcPr>
          <w:p>
            <w:pPr>
              <w:spacing w:after="20"/>
            </w:pPr>
            <w:r>
              <w:rPr>
                <w:sz w:val="16"/>
              </w:rPr>
              <w:t>28</w:t>
            </w:r>
          </w:p>
        </w:tc>
        <w:tc>
          <w:tcPr>
            <w:tcW w:type="dxa" w:w="2520"/>
            <w:vAlign w:val="top"/>
          </w:tcPr>
          <w:p>
            <w:pPr>
              <w:spacing w:after="20"/>
            </w:pPr>
            <w:r>
              <w:rPr>
                <w:sz w:val="16"/>
              </w:rPr>
              <w:t>Self-review: runtime endpoints vs loopback-only gateway (Low)</w:t>
            </w:r>
          </w:p>
        </w:tc>
        <w:tc>
          <w:tcPr>
            <w:tcW w:type="dxa" w:w="4032"/>
            <w:vAlign w:val="top"/>
          </w:tcPr>
          <w:p>
            <w:pPr>
              <w:spacing w:after="20"/>
            </w:pPr>
            <w:r>
              <w:rPr>
                <w:sz w:val="16"/>
              </w:rPr>
              <w:t>Runtime tool/model endpoints defined as a separate internal interface reachable from the sandbox</w:t>
            </w:r>
          </w:p>
        </w:tc>
        <w:tc>
          <w:tcPr>
            <w:tcW w:type="dxa" w:w="2520"/>
            <w:vAlign w:val="top"/>
          </w:tcPr>
          <w:p>
            <w:pPr>
              <w:spacing w:after="20"/>
            </w:pPr>
            <w:r>
              <w:rPr>
                <w:sz w:val="16"/>
              </w:rPr>
              <w:t>AGT-003</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4"/>
      </w:rPr>
      <w:t>Freya Foundation v1.1 — Architecture Freeze Candidate — 2026-10-07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17"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