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Sarabun" w:cs="Sarabun" w:eastAsia="Sarabun" w:hAnsi="Sarabun"/>
          <w:sz w:val="24"/>
          <w:szCs w:val="24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2154" w:right="1134" w:bottom="1134" w:left="1417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t="0" r="0" b="0" l="0"/>
          <wp:wrapNone/>
          <wp:docPr id="1" name="TASA letterhead" descr="TASA letterhead background" title="TASA 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1e052cbe271d5ba5b18666bbfe2b157fa0264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TASA Report Template</dc:title>
  <dc:creator>TASA Foreign Affairs Department</dc:creator>
  <cp:lastModifiedBy>Un-named</cp:lastModifiedBy>
  <cp:revision>1</cp:revision>
  <dcterms:created xsi:type="dcterms:W3CDTF">2026-10-22T14:59:36.284Z</dcterms:created>
  <dcterms:modified xsi:type="dcterms:W3CDTF">2026-10-22T14:59:36.285Z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