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EOC-1 Eval-001</w:t>
      </w:r>
    </w:p>
    <w:p>
      <w:pPr>
        <w:spacing w:after="240"/>
        <w:jc w:val="center"/>
      </w:pPr>
      <w:r>
        <w:rPr>
          <w:rFonts w:ascii="Cambria" w:cs="Cambria" w:eastAsia="Cambria" w:hAnsi="Cambria"/>
          <w:b/>
          <w:bCs/>
          <w:sz w:val="42"/>
          <w:szCs w:val="42"/>
        </w:rPr>
        <w:t xml:space="preserve">Schema-Conformant Generation</w:t>
      </w:r>
    </w:p>
    <w:p>
      <w:pPr>
        <w:spacing w:after="60"/>
        <w:jc w:val="center"/>
      </w:pPr>
      <w:r>
        <w:rPr>
          <w:rFonts w:ascii="Cambria" w:cs="Cambria" w:eastAsia="Cambria" w:hAnsi="Cambria"/>
          <w:i/>
          <w:iCs/>
          <w:sz w:val="26"/>
          <w:szCs w:val="26"/>
        </w:rPr>
        <w:t xml:space="preserve">Corpus, Rubric, and Measurement Specification</w:t>
      </w:r>
    </w:p>
    <w:p>
      <w:pPr>
        <w:spacing w:after="600"/>
        <w:jc w:val="center"/>
      </w:pPr>
      <w:r>
        <w:rPr>
          <w:rFonts w:ascii="Cambria" w:cs="Cambria" w:eastAsia="Cambria" w:hAnsi="Cambria"/>
          <w:color w:val="555555"/>
          <w:sz w:val="22"/>
          <w:szCs w:val="22"/>
        </w:rPr>
        <w:t xml:space="preserve">Working Draft 0.1 — Companion to EOC-1</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specifies the corpus, rubric, and measurement methodology for the first reference evaluation under the EOC-1 proficiency standard. Eval-001 covers schema-conformant generation: producing typed, schema-valid output records from underspecified intent, exercising the T2→T4 tier boundary. It is normative for any party publishing an EOC-1 Eval-001 certificate. Distribution is unlimited.</w:t>
      </w:r>
    </w:p>
    <w:p>
      <w:r>
        <w:br w:type="page"/>
      </w:r>
    </w:p>
    <w:p>
      <w:pPr>
        <w:pStyle w:val="Heading1"/>
        <w:spacing w:after="180" w:before="360"/>
      </w:pPr>
      <w:r>
        <w:rPr>
          <w:rFonts w:ascii="Cambria" w:cs="Cambria" w:eastAsia="Cambria" w:hAnsi="Cambria"/>
          <w:b/>
          <w:bCs/>
          <w:sz w:val="30"/>
          <w:szCs w:val="30"/>
        </w:rPr>
        <w:t xml:space="preserve">1. Introduction</w:t>
      </w:r>
    </w:p>
    <w:p>
      <w:pPr>
        <w:pStyle w:val="Heading2"/>
        <w:spacing w:after="140" w:before="280"/>
      </w:pPr>
      <w:r>
        <w:rPr>
          <w:rFonts w:ascii="Cambria" w:cs="Cambria" w:eastAsia="Cambria" w:hAnsi="Cambria"/>
          <w:b/>
          <w:bCs/>
          <w:sz w:val="26"/>
          <w:szCs w:val="26"/>
        </w:rPr>
        <w:t xml:space="preserve">1.1. Purpose</w:t>
      </w:r>
    </w:p>
    <w:p>
      <w:pPr>
        <w:spacing w:after="120" w:line="280"/>
        <w:jc w:val="both"/>
      </w:pPr>
      <w:r>
        <w:rPr>
          <w:rFonts w:ascii="Cambria" w:cs="Cambria" w:eastAsia="Cambria" w:hAnsi="Cambria"/>
          <w:sz w:val="22"/>
          <w:szCs w:val="22"/>
        </w:rPr>
        <w:t xml:space="preserve">This document specifies Eval-001, the reference evaluation for the schema-conformant generation task class under the EOC-1 substrate (see EOC-1 §9). Schema-conformant generation is the operation of mapping an underspecified intent to a complete, typed, schema-valid output record, where the input does not fully determine all output fields and the system must synthesize values that are simultaneously type-correct, semantically appropriate, and consistent with the intent's stated constraints.</w:t>
      </w:r>
    </w:p>
    <w:p>
      <w:pPr>
        <w:pStyle w:val="Heading2"/>
        <w:spacing w:after="140" w:before="280"/>
      </w:pPr>
      <w:r>
        <w:rPr>
          <w:rFonts w:ascii="Cambria" w:cs="Cambria" w:eastAsia="Cambria" w:hAnsi="Cambria"/>
          <w:b/>
          <w:bCs/>
          <w:sz w:val="26"/>
          <w:szCs w:val="26"/>
        </w:rPr>
        <w:t xml:space="preserve">1.2. Why This Task Class</w:t>
      </w:r>
    </w:p>
    <w:p>
      <w:pPr>
        <w:spacing w:after="120" w:line="280"/>
        <w:jc w:val="both"/>
      </w:pPr>
      <w:r>
        <w:rPr>
          <w:rFonts w:ascii="Cambria" w:cs="Cambria" w:eastAsia="Cambria" w:hAnsi="Cambria"/>
          <w:sz w:val="22"/>
          <w:szCs w:val="22"/>
        </w:rPr>
        <w:t xml:space="preserve">Schema-conformant generation is the reference eval because it sits precisely at the architectural boundary the EOC substrate is designed to manage. Pure extraction (mapping document to record) lives almost entirely at T1+T2 and tests one direction of the substrate's claim: that deterministic tiers absorb most work. Generation tests the other direction: that when stochastic computation is structurally necessary, the substrate constrains it tightly enough that schema conformance, field-level validation, and energy honesty are still preserved.</w:t>
      </w:r>
    </w:p>
    <w:p>
      <w:pPr>
        <w:pStyle w:val="Heading2"/>
        <w:spacing w:after="140" w:before="280"/>
      </w:pPr>
      <w:r>
        <w:rPr>
          <w:rFonts w:ascii="Cambria" w:cs="Cambria" w:eastAsia="Cambria" w:hAnsi="Cambria"/>
          <w:b/>
          <w:bCs/>
          <w:sz w:val="26"/>
          <w:szCs w:val="26"/>
        </w:rPr>
        <w:t xml:space="preserve">1.3. Scope</w:t>
      </w:r>
    </w:p>
    <w:p>
      <w:pPr>
        <w:spacing w:after="120" w:line="280"/>
        <w:jc w:val="both"/>
      </w:pPr>
      <w:r>
        <w:rPr>
          <w:rFonts w:ascii="Cambria" w:cs="Cambria" w:eastAsia="Cambria" w:hAnsi="Cambria"/>
          <w:sz w:val="22"/>
          <w:szCs w:val="22"/>
        </w:rPr>
        <w:t xml:space="preserve">Eval-001 covers generation of schema-conformant output records from intent inputs of three structural types: (a) form-filling — populating a typed schema given partial inputs and contextual references; (b) message synthesis — producing constrained-form messages (replies, notifications, confirmations) where the schema specifies semantic slots and a surface-form rubric; and (c) document instantiation — generating a structured document (meeting agenda, ticket, change request) from a high-level brief. Open-ended creative writing, multi-document synthesis, and tasks requiring novel reasoning beyond template-bounded substitution are out of scope.</w:t>
      </w:r>
    </w:p>
    <w:p>
      <w:pPr>
        <w:pStyle w:val="Heading2"/>
        <w:spacing w:after="140" w:before="280"/>
      </w:pPr>
      <w:r>
        <w:rPr>
          <w:rFonts w:ascii="Cambria" w:cs="Cambria" w:eastAsia="Cambria" w:hAnsi="Cambria"/>
          <w:b/>
          <w:bCs/>
          <w:sz w:val="26"/>
          <w:szCs w:val="26"/>
        </w:rPr>
        <w:t xml:space="preserve">1.4. Conformance</w:t>
      </w:r>
    </w:p>
    <w:p>
      <w:pPr>
        <w:spacing w:after="120" w:line="280"/>
        <w:jc w:val="both"/>
      </w:pPr>
      <w:r>
        <w:rPr>
          <w:rFonts w:ascii="Cambria" w:cs="Cambria" w:eastAsia="Cambria" w:hAnsi="Cambria"/>
          <w:sz w:val="22"/>
          <w:szCs w:val="22"/>
        </w:rPr>
        <w:t xml:space="preserve">A certificate of the form defined in EOC-1 §9.5 MAY claim conformance to Eval-001 if and only if it was produced by running the unmodified corpus, rubric, and measurement procedure specified herein, on hardware conforming to §6 of this document, with results scored by the procedure in §5. Certificates that deviate in any of these dimensions MUST NOT use the Eval-001 identifier.</w:t>
      </w:r>
    </w:p>
    <w:p>
      <w:pPr>
        <w:pStyle w:val="Heading2"/>
        <w:spacing w:after="140" w:before="280"/>
      </w:pPr>
      <w:r>
        <w:rPr>
          <w:rFonts w:ascii="Cambria" w:cs="Cambria" w:eastAsia="Cambria" w:hAnsi="Cambria"/>
          <w:b/>
          <w:bCs/>
          <w:sz w:val="26"/>
          <w:szCs w:val="26"/>
        </w:rPr>
        <w:t xml:space="preserve">1.5. Requirements Language</w:t>
      </w:r>
    </w:p>
    <w:p>
      <w:pPr>
        <w:spacing w:after="120" w:line="280"/>
        <w:jc w:val="both"/>
      </w:pPr>
      <w:r>
        <w:rPr>
          <w:rFonts w:ascii="Cambria" w:cs="Cambria" w:eastAsia="Cambria" w:hAnsi="Cambria"/>
          <w:sz w:val="22"/>
          <w:szCs w:val="22"/>
        </w:rPr>
        <w:t xml:space="preserve">The key words MUST, MUST NOT, REQUIRED, SHALL, SHALL NOT, SHOULD, SHOULD NOT, RECOMMENDED, MAY, and OPTIONAL in this document are to be interpreted as in RFC 2119 and RFC 8174 when, and only when, they appear in all capitals.</w:t>
      </w:r>
    </w:p>
    <w:p>
      <w:pPr>
        <w:pStyle w:val="Heading1"/>
        <w:pageBreakBefore/>
        <w:spacing w:after="180" w:before="0"/>
      </w:pPr>
      <w:r>
        <w:rPr>
          <w:rFonts w:ascii="Cambria" w:cs="Cambria" w:eastAsia="Cambria" w:hAnsi="Cambria"/>
          <w:b/>
          <w:bCs/>
          <w:sz w:val="30"/>
          <w:szCs w:val="30"/>
        </w:rPr>
        <w:t xml:space="preserve">2. Task Definition</w:t>
      </w:r>
    </w:p>
    <w:p>
      <w:pPr>
        <w:pStyle w:val="Heading2"/>
        <w:spacing w:after="140" w:before="280"/>
      </w:pPr>
      <w:r>
        <w:rPr>
          <w:rFonts w:ascii="Cambria" w:cs="Cambria" w:eastAsia="Cambria" w:hAnsi="Cambria"/>
          <w:b/>
          <w:bCs/>
          <w:sz w:val="26"/>
          <w:szCs w:val="26"/>
        </w:rPr>
        <w:t xml:space="preserve">2.1. Formal Statement</w:t>
      </w:r>
    </w:p>
    <w:p>
      <w:pPr>
        <w:spacing w:after="120" w:line="280"/>
        <w:jc w:val="both"/>
      </w:pPr>
      <w:r>
        <w:rPr>
          <w:rFonts w:ascii="Cambria" w:cs="Cambria" w:eastAsia="Cambria" w:hAnsi="Cambria"/>
          <w:sz w:val="22"/>
          <w:szCs w:val="22"/>
        </w:rPr>
        <w:t xml:space="preserve">Given an intent record I, a target schema S, and an OPTIONAL context bundle C, the system under test MUST produce an output record R such that:</w:t>
      </w:r>
    </w:p>
    <w:p>
      <w:pPr>
        <w:pStyle w:val="ListParagraph"/>
        <w:numPr>
          <w:ilvl w:val="0"/>
          <w:numId w:val="2"/>
        </w:numPr>
        <w:spacing w:after="80" w:line="280"/>
      </w:pPr>
      <w:r>
        <w:rPr>
          <w:rFonts w:ascii="Cambria" w:cs="Cambria" w:eastAsia="Cambria" w:hAnsi="Cambria"/>
          <w:sz w:val="22"/>
          <w:szCs w:val="22"/>
        </w:rPr>
        <w:t xml:space="preserve">R is bit-identically valid against S (every required field present, every type correct, every constraint satisfied).</w:t>
      </w:r>
    </w:p>
    <w:p>
      <w:pPr>
        <w:pStyle w:val="ListParagraph"/>
        <w:numPr>
          <w:ilvl w:val="0"/>
          <w:numId w:val="2"/>
        </w:numPr>
        <w:spacing w:after="80" w:line="280"/>
      </w:pPr>
      <w:r>
        <w:rPr>
          <w:rFonts w:ascii="Cambria" w:cs="Cambria" w:eastAsia="Cambria" w:hAnsi="Cambria"/>
          <w:sz w:val="22"/>
          <w:szCs w:val="22"/>
        </w:rPr>
        <w:t xml:space="preserve">Every field in R is consistent with I — fields explicitly specified in I MUST appear unchanged in R (modulo normalization), and fields constrained by I MUST satisfy those constraints.</w:t>
      </w:r>
    </w:p>
    <w:p>
      <w:pPr>
        <w:pStyle w:val="ListParagraph"/>
        <w:numPr>
          <w:ilvl w:val="0"/>
          <w:numId w:val="2"/>
        </w:numPr>
        <w:spacing w:after="80" w:line="280"/>
      </w:pPr>
      <w:r>
        <w:rPr>
          <w:rFonts w:ascii="Cambria" w:cs="Cambria" w:eastAsia="Cambria" w:hAnsi="Cambria"/>
          <w:sz w:val="22"/>
          <w:szCs w:val="22"/>
        </w:rPr>
        <w:t xml:space="preserve">Synthesized fields (those neither specified nor explicitly absent from I) MUST be drawn from the schema's permitted value space and MUST NOT contradict I.</w:t>
      </w:r>
    </w:p>
    <w:p>
      <w:pPr>
        <w:pStyle w:val="ListParagraph"/>
        <w:numPr>
          <w:ilvl w:val="0"/>
          <w:numId w:val="2"/>
        </w:numPr>
        <w:spacing w:after="80" w:line="280"/>
      </w:pPr>
      <w:r>
        <w:rPr>
          <w:rFonts w:ascii="Cambria" w:cs="Cambria" w:eastAsia="Cambria" w:hAnsi="Cambria"/>
          <w:sz w:val="22"/>
          <w:szCs w:val="22"/>
        </w:rPr>
        <w:t xml:space="preserve">R MUST NOT include fields outside S.</w:t>
      </w:r>
    </w:p>
    <w:p>
      <w:pPr>
        <w:pStyle w:val="Heading2"/>
        <w:spacing w:after="140" w:before="280"/>
      </w:pPr>
      <w:r>
        <w:rPr>
          <w:rFonts w:ascii="Cambria" w:cs="Cambria" w:eastAsia="Cambria" w:hAnsi="Cambria"/>
          <w:b/>
          <w:bCs/>
          <w:sz w:val="26"/>
          <w:szCs w:val="26"/>
        </w:rPr>
        <w:t xml:space="preserve">2.2. The Three Layers</w:t>
      </w:r>
    </w:p>
    <w:p>
      <w:pPr>
        <w:spacing w:after="120" w:line="280"/>
        <w:jc w:val="both"/>
      </w:pPr>
      <w:r>
        <w:rPr>
          <w:rFonts w:ascii="Cambria" w:cs="Cambria" w:eastAsia="Cambria" w:hAnsi="Cambria"/>
          <w:sz w:val="22"/>
          <w:szCs w:val="22"/>
        </w:rPr>
        <w:t xml:space="preserve">Schema-conformant generation has three layers, each scored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Layer</w:t>
            </w:r>
          </w:p>
        </w:tc>
        <w:tc>
          <w:tcPr>
            <w:tcW w:type="dxa" w:w="3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Question</w:t>
            </w:r>
          </w:p>
        </w:tc>
        <w:tc>
          <w:tcPr>
            <w:tcW w:type="dxa" w:w="228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Determinism</w:t>
            </w:r>
          </w:p>
        </w:tc>
        <w:tc>
          <w:tcPr>
            <w:tcW w:type="dxa" w:w="228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Expected Tier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Structural</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Is R valid against S?</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Fully deterministic</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T2</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Constraint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Does R honor every explicit field in I?</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Fully deterministic</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T2</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Synthesis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Are synthesized fields appropriate?</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Fuzzy (multiple valid)</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T4 (constrained)</w:t>
            </w:r>
          </w:p>
        </w:tc>
      </w:tr>
    </w:tbl>
    <w:p>
      <w:pPr>
        <w:spacing w:after="120" w:line="280"/>
        <w:jc w:val="both"/>
      </w:pPr>
      <w:r>
        <w:rPr>
          <w:rFonts w:ascii="Cambria" w:cs="Cambria" w:eastAsia="Cambria" w:hAnsi="Cambria"/>
          <w:sz w:val="22"/>
          <w:szCs w:val="22"/>
        </w:rPr>
        <w:t xml:space="preserve"/>
      </w:r>
    </w:p>
    <w:p>
      <w:pPr>
        <w:pStyle w:val="Heading2"/>
        <w:spacing w:after="140" w:before="280"/>
      </w:pPr>
      <w:r>
        <w:rPr>
          <w:rFonts w:ascii="Cambria" w:cs="Cambria" w:eastAsia="Cambria" w:hAnsi="Cambria"/>
          <w:b/>
          <w:bCs/>
          <w:sz w:val="26"/>
          <w:szCs w:val="26"/>
        </w:rPr>
        <w:t xml:space="preserve">2.3. Architectural Implication</w:t>
      </w:r>
    </w:p>
    <w:p>
      <w:pPr>
        <w:spacing w:after="120" w:line="280"/>
        <w:jc w:val="both"/>
      </w:pPr>
      <w:r>
        <w:rPr>
          <w:rFonts w:ascii="Cambria" w:cs="Cambria" w:eastAsia="Cambria" w:hAnsi="Cambria"/>
          <w:sz w:val="22"/>
          <w:szCs w:val="22"/>
        </w:rPr>
        <w:t xml:space="preserve">This three-layer decomposition is normative. Implementations MUST score the three layers independently, and certificates MUST report each layer separately. This is the eval's primary architectural test: a system that delegates all three layers to a single T4 invocation is permitted but penalized in the energy envelope; a system that handles structural and constraint deterministically and invokes T4 only for synthesis is rewarded by the same envelope. The eval is the substrate's incentive structure made measurable.</w:t>
      </w:r>
    </w:p>
    <w:p>
      <w:pPr>
        <w:pStyle w:val="Heading2"/>
        <w:spacing w:after="140" w:before="280"/>
      </w:pPr>
      <w:r>
        <w:rPr>
          <w:rFonts w:ascii="Cambria" w:cs="Cambria" w:eastAsia="Cambria" w:hAnsi="Cambria"/>
          <w:b/>
          <w:bCs/>
          <w:sz w:val="26"/>
          <w:szCs w:val="26"/>
        </w:rPr>
        <w:t xml:space="preserve">2.4. Output Format</w:t>
      </w:r>
    </w:p>
    <w:p>
      <w:pPr>
        <w:spacing w:after="120" w:line="280"/>
        <w:jc w:val="both"/>
      </w:pPr>
      <w:r>
        <w:rPr>
          <w:rFonts w:ascii="Cambria" w:cs="Cambria" w:eastAsia="Cambria" w:hAnsi="Cambria"/>
          <w:sz w:val="22"/>
          <w:szCs w:val="22"/>
        </w:rPr>
        <w:t xml:space="preserve">Output records MUST be JSON conforming to the schema attached to each task instance. Implementations MUST NOT emit fields outside S. Field ordering follows JSON Schema; the rubric is order-independent within an object but order-sensitive within arrays.</w:t>
      </w:r>
    </w:p>
    <w:p>
      <w:pPr>
        <w:pStyle w:val="Heading1"/>
        <w:pageBreakBefore/>
        <w:spacing w:after="180" w:before="0"/>
      </w:pPr>
      <w:r>
        <w:rPr>
          <w:rFonts w:ascii="Cambria" w:cs="Cambria" w:eastAsia="Cambria" w:hAnsi="Cambria"/>
          <w:b/>
          <w:bCs/>
          <w:sz w:val="30"/>
          <w:szCs w:val="30"/>
        </w:rPr>
        <w:t xml:space="preserve">3. Corpus</w:t>
      </w:r>
    </w:p>
    <w:p>
      <w:pPr>
        <w:pStyle w:val="Heading2"/>
        <w:spacing w:after="140" w:before="280"/>
      </w:pPr>
      <w:r>
        <w:rPr>
          <w:rFonts w:ascii="Cambria" w:cs="Cambria" w:eastAsia="Cambria" w:hAnsi="Cambria"/>
          <w:b/>
          <w:bCs/>
          <w:sz w:val="26"/>
          <w:szCs w:val="26"/>
        </w:rPr>
        <w:t xml:space="preserve">3.1. Composition</w:t>
      </w:r>
    </w:p>
    <w:p>
      <w:pPr>
        <w:spacing w:after="120" w:line="280"/>
        <w:jc w:val="both"/>
      </w:pPr>
      <w:r>
        <w:rPr>
          <w:rFonts w:ascii="Cambria" w:cs="Cambria" w:eastAsia="Cambria" w:hAnsi="Cambria"/>
          <w:sz w:val="22"/>
          <w:szCs w:val="22"/>
        </w:rPr>
        <w:t xml:space="preserve">Eval-001 corpus version 0.1 comprises 8,000 task instances drawn from three structural categories. Each instance is a tuple (intent, schema, context_bundle, ground_truth_specification). The corpus is partitioned into a public training/development split (6,400 instances) and a held-out test split (1,600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400"/>
        <w:gridCol w:w="2460"/>
      </w:tblGrid>
      <w:tr>
        <w:trPr>
          <w:tblHeader/>
        </w:trPr>
        <w:tc>
          <w:tcPr>
            <w:tcW w:type="dxa" w:w="3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Sub-class</w:t>
            </w:r>
          </w:p>
        </w:tc>
        <w:tc>
          <w:tcPr>
            <w:tcW w:type="dxa" w:w="15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Instances</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Synthesis Surface</w:t>
            </w:r>
          </w:p>
        </w:tc>
        <w:tc>
          <w:tcPr>
            <w:tcW w:type="dxa" w:w="24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Typical Schema</w:t>
            </w:r>
          </w:p>
        </w:tc>
      </w:tr>
      <w:tr>
        <w:trPr>
          <w:tblHeader/>
        </w:trPr>
        <w:tc>
          <w:tcPr>
            <w:tcW w:type="dxa" w:w="3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(a) Form-filling</w:t>
            </w:r>
          </w:p>
        </w:tc>
        <w:tc>
          <w:tcPr>
            <w:tcW w:type="dxa" w:w="15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3,200</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
            </w:r>
          </w:p>
        </w:tc>
        <w:tc>
          <w:tcPr>
            <w:tcW w:type="dxa" w:w="24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Calendar event from natural-language request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Title, description fill-in</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RFC 5545-flavored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Issue/ticket from bug report or feature request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Title, body, labels, severity</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Issue tracker schema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Address book entry from contact info</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Display name, notes, tags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vCard 4.0 subset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Reservation/booking from intent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Reference codes, special requests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Booking schema</w:t>
            </w:r>
          </w:p>
        </w:tc>
      </w:tr>
      <w:tr>
        <w:trPr>
          <w:tblHeader/>
        </w:trPr>
        <w:tc>
          <w:tcPr>
            <w:tcW w:type="dxa" w:w="3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(b) Message synthesis</w:t>
            </w:r>
          </w:p>
        </w:tc>
        <w:tc>
          <w:tcPr>
            <w:tcW w:type="dxa" w:w="15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3,200</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
            </w:r>
          </w:p>
        </w:tc>
        <w:tc>
          <w:tcPr>
            <w:tcW w:type="dxa" w:w="24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Polite decline (meeting, request, offer)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Body text, tone-bounded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Email schema with semantic slots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Confirmation message (transaction, RSVP, receipt)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Body referencing slots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Notification schema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Status update (project, incident)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Summary, blockers, next steps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Update schema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Reply to inquiry (FAQ, customer support)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Answer body referencing KB entries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Reply schema</w:t>
            </w:r>
          </w:p>
        </w:tc>
      </w:tr>
      <w:tr>
        <w:trPr>
          <w:tblHeader/>
        </w:trPr>
        <w:tc>
          <w:tcPr>
            <w:tcW w:type="dxa" w:w="3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(c) Document instantiation</w:t>
            </w:r>
          </w:p>
        </w:tc>
        <w:tc>
          <w:tcPr>
            <w:tcW w:type="dxa" w:w="15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1,600</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
            </w:r>
          </w:p>
        </w:tc>
        <w:tc>
          <w:tcPr>
            <w:tcW w:type="dxa" w:w="24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Meeting agenda from brief</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400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Agenda items, time allocation</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Agenda schema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Pull request description from diff summary</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400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Title, description, checklist</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PR template schema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Change request from operational need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400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Justification, risk, rollback</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Change schema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Test plan stub from feature spec</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400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Test cases, preconditions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Test plan schema</w:t>
            </w:r>
          </w:p>
        </w:tc>
      </w:tr>
    </w:tbl>
    <w:p>
      <w:pPr>
        <w:spacing w:after="120" w:line="280"/>
        <w:jc w:val="both"/>
      </w:pPr>
      <w:r>
        <w:rPr>
          <w:rFonts w:ascii="Cambria" w:cs="Cambria" w:eastAsia="Cambria" w:hAnsi="Cambria"/>
          <w:sz w:val="22"/>
          <w:szCs w:val="22"/>
        </w:rPr>
        <w:t xml:space="preserve"/>
      </w:r>
    </w:p>
    <w:p>
      <w:pPr>
        <w:spacing w:after="120" w:line="280"/>
        <w:jc w:val="both"/>
      </w:pPr>
      <w:r>
        <w:rPr>
          <w:rFonts w:ascii="Cambria" w:cs="Cambria" w:eastAsia="Cambria" w:hAnsi="Cambria"/>
          <w:b/>
          <w:bCs/>
          <w:sz w:val="22"/>
          <w:szCs w:val="22"/>
        </w:rPr>
        <w:t xml:space="preserve">Table 1.</w:t>
      </w:r>
      <w:r>
        <w:rPr>
          <w:rFonts w:ascii="Cambria" w:cs="Cambria" w:eastAsia="Cambria" w:hAnsi="Cambria"/>
          <w:sz w:val="22"/>
          <w:szCs w:val="22"/>
        </w:rPr>
        <w:t xml:space="preserve"> Eval-001 corpus composition v0.1. Total: 8,000 instances. The mix weights form-filling and message synthesis equally because they exercise different aspects of the T2/T4 boundary; document instantiation is smaller because it shares failure modes with the other two.</w:t>
      </w:r>
    </w:p>
    <w:p>
      <w:pPr>
        <w:pStyle w:val="Heading2"/>
        <w:spacing w:after="140" w:before="280"/>
      </w:pPr>
      <w:r>
        <w:rPr>
          <w:rFonts w:ascii="Cambria" w:cs="Cambria" w:eastAsia="Cambria" w:hAnsi="Cambria"/>
          <w:b/>
          <w:bCs/>
          <w:sz w:val="26"/>
          <w:szCs w:val="26"/>
        </w:rPr>
        <w:t xml:space="preserve">3.2. Construction Rules</w:t>
      </w:r>
    </w:p>
    <w:p>
      <w:pPr>
        <w:spacing w:after="120" w:line="280"/>
        <w:jc w:val="both"/>
      </w:pPr>
      <w:r>
        <w:rPr>
          <w:rFonts w:ascii="Cambria" w:cs="Cambria" w:eastAsia="Cambria" w:hAnsi="Cambria"/>
          <w:sz w:val="22"/>
          <w:szCs w:val="22"/>
        </w:rPr>
        <w:t xml:space="preserve">Corpus construction MUST satisfy:</w:t>
      </w:r>
    </w:p>
    <w:p>
      <w:pPr>
        <w:pStyle w:val="ListParagraph"/>
        <w:numPr>
          <w:ilvl w:val="0"/>
          <w:numId w:val="2"/>
        </w:numPr>
        <w:spacing w:after="80" w:line="280"/>
      </w:pPr>
      <w:r>
        <w:rPr>
          <w:rFonts w:ascii="Cambria" w:cs="Cambria" w:eastAsia="Cambria" w:hAnsi="Cambria"/>
          <w:sz w:val="22"/>
          <w:szCs w:val="22"/>
        </w:rPr>
        <w:t xml:space="preserve">All instances are released under CC-BY-4.0 or compatible permissive license.</w:t>
      </w:r>
    </w:p>
    <w:p>
      <w:pPr>
        <w:pStyle w:val="ListParagraph"/>
        <w:numPr>
          <w:ilvl w:val="0"/>
          <w:numId w:val="2"/>
        </w:numPr>
        <w:spacing w:after="80" w:line="280"/>
      </w:pPr>
      <w:r>
        <w:rPr>
          <w:rFonts w:ascii="Cambria" w:cs="Cambria" w:eastAsia="Cambria" w:hAnsi="Cambria"/>
          <w:sz w:val="22"/>
          <w:szCs w:val="22"/>
        </w:rPr>
        <w:t xml:space="preserve">Instances MUST be synthetic or fully synthesized from public-domain templates. Real human-authored data is forbidden in this corpus to eliminate PII risk.</w:t>
      </w:r>
    </w:p>
    <w:p>
      <w:pPr>
        <w:pStyle w:val="ListParagraph"/>
        <w:numPr>
          <w:ilvl w:val="0"/>
          <w:numId w:val="2"/>
        </w:numPr>
        <w:spacing w:after="80" w:line="280"/>
      </w:pPr>
      <w:r>
        <w:rPr>
          <w:rFonts w:ascii="Cambria" w:cs="Cambria" w:eastAsia="Cambria" w:hAnsi="Cambria"/>
          <w:sz w:val="22"/>
          <w:szCs w:val="22"/>
        </w:rPr>
        <w:t xml:space="preserve">Generation procedures MUST be published with seed control, allowing any party to regenerate the corpus from scratch.</w:t>
      </w:r>
    </w:p>
    <w:p>
      <w:pPr>
        <w:pStyle w:val="ListParagraph"/>
        <w:numPr>
          <w:ilvl w:val="0"/>
          <w:numId w:val="2"/>
        </w:numPr>
        <w:spacing w:after="80" w:line="280"/>
      </w:pPr>
      <w:r>
        <w:rPr>
          <w:rFonts w:ascii="Cambria" w:cs="Cambria" w:eastAsia="Cambria" w:hAnsi="Cambria"/>
          <w:sz w:val="22"/>
          <w:szCs w:val="22"/>
        </w:rPr>
        <w:t xml:space="preserve">Each instance carries an intent specification with explicit slots marked as: GIVEN (must appear unchanged), CONSTRAINED (must satisfy stated predicates), or SYNTHESIZED (free for the system to fill within schema bounds).</w:t>
      </w:r>
    </w:p>
    <w:p>
      <w:pPr>
        <w:pStyle w:val="ListParagraph"/>
        <w:numPr>
          <w:ilvl w:val="0"/>
          <w:numId w:val="2"/>
        </w:numPr>
        <w:spacing w:after="80" w:line="280"/>
      </w:pPr>
      <w:r>
        <w:rPr>
          <w:rFonts w:ascii="Cambria" w:cs="Cambria" w:eastAsia="Cambria" w:hAnsi="Cambria"/>
          <w:sz w:val="22"/>
          <w:szCs w:val="22"/>
        </w:rPr>
        <w:t xml:space="preserve">Each instance carries a context bundle when relevant — referenced contacts, prior message history, calendar state, knowledge base snippets — published as content-addressed sub-artifacts.</w:t>
      </w:r>
    </w:p>
    <w:p>
      <w:pPr>
        <w:pStyle w:val="ListParagraph"/>
        <w:numPr>
          <w:ilvl w:val="0"/>
          <w:numId w:val="2"/>
        </w:numPr>
        <w:spacing w:after="80" w:line="280"/>
      </w:pPr>
      <w:r>
        <w:rPr>
          <w:rFonts w:ascii="Cambria" w:cs="Cambria" w:eastAsia="Cambria" w:hAnsi="Cambria"/>
          <w:sz w:val="22"/>
          <w:szCs w:val="22"/>
        </w:rPr>
        <w:t xml:space="preserve">Adversarial instances MUST be included: contradictory constraints, schema-violating intents (the system MUST reject), ambiguous slot bindings, missing context references.</w:t>
      </w:r>
    </w:p>
    <w:p>
      <w:pPr>
        <w:pStyle w:val="Heading2"/>
        <w:spacing w:after="140" w:before="280"/>
      </w:pPr>
      <w:r>
        <w:rPr>
          <w:rFonts w:ascii="Cambria" w:cs="Cambria" w:eastAsia="Cambria" w:hAnsi="Cambria"/>
          <w:b/>
          <w:bCs/>
          <w:sz w:val="26"/>
          <w:szCs w:val="26"/>
        </w:rPr>
        <w:t xml:space="preserve">3.3. Ground Truth as Specification, Not Reference Output</w:t>
      </w:r>
    </w:p>
    <w:p>
      <w:pPr>
        <w:spacing w:after="120" w:line="280"/>
        <w:jc w:val="both"/>
      </w:pPr>
      <w:r>
        <w:rPr>
          <w:rFonts w:ascii="Cambria" w:cs="Cambria" w:eastAsia="Cambria" w:hAnsi="Cambria"/>
          <w:sz w:val="22"/>
          <w:szCs w:val="22"/>
        </w:rPr>
        <w:t xml:space="preserve">Schema-conformant generation has multiple correct outputs for most instances. Ground truth therefore is NOT a single reference output. Ground truth is a specification:</w:t>
      </w:r>
    </w:p>
    <w:p>
      <w:pPr>
        <w:pStyle w:val="ListParagraph"/>
        <w:numPr>
          <w:ilvl w:val="0"/>
          <w:numId w:val="2"/>
        </w:numPr>
        <w:spacing w:after="80" w:line="280"/>
      </w:pPr>
      <w:r>
        <w:rPr>
          <w:rFonts w:ascii="Cambria" w:cs="Cambria" w:eastAsia="Cambria" w:hAnsi="Cambria"/>
          <w:sz w:val="22"/>
          <w:szCs w:val="22"/>
        </w:rPr>
        <w:t xml:space="preserve">A schema validator confirming structural correctness.</w:t>
      </w:r>
    </w:p>
    <w:p>
      <w:pPr>
        <w:pStyle w:val="ListParagraph"/>
        <w:numPr>
          <w:ilvl w:val="0"/>
          <w:numId w:val="2"/>
        </w:numPr>
        <w:spacing w:after="80" w:line="280"/>
      </w:pPr>
      <w:r>
        <w:rPr>
          <w:rFonts w:ascii="Cambria" w:cs="Cambria" w:eastAsia="Cambria" w:hAnsi="Cambria"/>
          <w:sz w:val="22"/>
          <w:szCs w:val="22"/>
        </w:rPr>
        <w:t xml:space="preserve">A constraint set: predicates over output fields that MUST evaluate to true.</w:t>
      </w:r>
    </w:p>
    <w:p>
      <w:pPr>
        <w:pStyle w:val="ListParagraph"/>
        <w:numPr>
          <w:ilvl w:val="0"/>
          <w:numId w:val="2"/>
        </w:numPr>
        <w:spacing w:after="80" w:line="280"/>
      </w:pPr>
      <w:r>
        <w:rPr>
          <w:rFonts w:ascii="Cambria" w:cs="Cambria" w:eastAsia="Cambria" w:hAnsi="Cambria"/>
          <w:sz w:val="22"/>
          <w:szCs w:val="22"/>
        </w:rPr>
        <w:t xml:space="preserve">A semantic rubric: per-slot acceptance criteria, scored deterministically where possible (§4).</w:t>
      </w:r>
    </w:p>
    <w:p>
      <w:pPr>
        <w:pStyle w:val="ListParagraph"/>
        <w:numPr>
          <w:ilvl w:val="0"/>
          <w:numId w:val="2"/>
        </w:numPr>
        <w:spacing w:after="80" w:line="280"/>
      </w:pPr>
      <w:r>
        <w:rPr>
          <w:rFonts w:ascii="Cambria" w:cs="Cambria" w:eastAsia="Cambria" w:hAnsi="Cambria"/>
          <w:sz w:val="22"/>
          <w:szCs w:val="22"/>
        </w:rPr>
        <w:t xml:space="preserve">Where a reference output exists, it is one of N valid outputs and is provided as illustrative, not authoritative.</w:t>
      </w:r>
    </w:p>
    <w:p>
      <w:pPr>
        <w:spacing w:after="120" w:line="280"/>
        <w:jc w:val="both"/>
      </w:pPr>
      <w:r>
        <w:rPr>
          <w:rFonts w:ascii="Cambria" w:cs="Cambria" w:eastAsia="Cambria" w:hAnsi="Cambria"/>
          <w:sz w:val="22"/>
          <w:szCs w:val="22"/>
        </w:rPr>
        <w:t xml:space="preserve">This is the central methodological commitment of Eval-001 and the principal departure from extraction-style evals. Scoring measures whether the output satisfies the specification, not whether it matches a chosen exemplar.</w:t>
      </w:r>
    </w:p>
    <w:p>
      <w:pPr>
        <w:pStyle w:val="Heading2"/>
        <w:spacing w:after="140" w:before="280"/>
      </w:pPr>
      <w:r>
        <w:rPr>
          <w:rFonts w:ascii="Cambria" w:cs="Cambria" w:eastAsia="Cambria" w:hAnsi="Cambria"/>
          <w:b/>
          <w:bCs/>
          <w:sz w:val="26"/>
          <w:szCs w:val="26"/>
        </w:rPr>
        <w:t xml:space="preserve">3.4. Specification Authoring</w:t>
      </w:r>
    </w:p>
    <w:p>
      <w:pPr>
        <w:spacing w:after="120" w:line="280"/>
        <w:jc w:val="both"/>
      </w:pPr>
      <w:r>
        <w:rPr>
          <w:rFonts w:ascii="Cambria" w:cs="Cambria" w:eastAsia="Cambria" w:hAnsi="Cambria"/>
          <w:sz w:val="22"/>
          <w:szCs w:val="22"/>
        </w:rPr>
        <w:t xml:space="preserve">Each instance specification MUST be authored by a procedure satisfying:</w:t>
      </w:r>
    </w:p>
    <w:p>
      <w:pPr>
        <w:pStyle w:val="ListParagraph"/>
        <w:numPr>
          <w:ilvl w:val="0"/>
          <w:numId w:val="2"/>
        </w:numPr>
        <w:spacing w:after="80" w:line="280"/>
      </w:pPr>
      <w:r>
        <w:rPr>
          <w:rFonts w:ascii="Cambria" w:cs="Cambria" w:eastAsia="Cambria" w:hAnsi="Cambria"/>
          <w:sz w:val="22"/>
          <w:szCs w:val="22"/>
        </w:rPr>
        <w:t xml:space="preserve">Schema and constraints encoded as machine-checkable predicates (JSON Schema + a constraint expression language defined in §4.2).</w:t>
      </w:r>
    </w:p>
    <w:p>
      <w:pPr>
        <w:pStyle w:val="ListParagraph"/>
        <w:numPr>
          <w:ilvl w:val="0"/>
          <w:numId w:val="2"/>
        </w:numPr>
        <w:spacing w:after="80" w:line="280"/>
      </w:pPr>
      <w:r>
        <w:rPr>
          <w:rFonts w:ascii="Cambria" w:cs="Cambria" w:eastAsia="Cambria" w:hAnsi="Cambria"/>
          <w:sz w:val="22"/>
          <w:szCs w:val="22"/>
        </w:rPr>
        <w:t xml:space="preserve">Semantic rubrics authored by at least two independent reviewers; rubric ambiguities resolved by a third.</w:t>
      </w:r>
    </w:p>
    <w:p>
      <w:pPr>
        <w:pStyle w:val="ListParagraph"/>
        <w:numPr>
          <w:ilvl w:val="0"/>
          <w:numId w:val="2"/>
        </w:numPr>
        <w:spacing w:after="80" w:line="280"/>
      </w:pPr>
      <w:r>
        <w:rPr>
          <w:rFonts w:ascii="Cambria" w:cs="Cambria" w:eastAsia="Cambria" w:hAnsi="Cambria"/>
          <w:sz w:val="22"/>
          <w:szCs w:val="22"/>
        </w:rPr>
        <w:t xml:space="preserve">At least one but typically 3–5 reference outputs published per instance, illustrating the range of valid responses.</w:t>
      </w:r>
    </w:p>
    <w:p>
      <w:pPr>
        <w:pStyle w:val="ListParagraph"/>
        <w:numPr>
          <w:ilvl w:val="0"/>
          <w:numId w:val="2"/>
        </w:numPr>
        <w:spacing w:after="80" w:line="280"/>
      </w:pPr>
      <w:r>
        <w:rPr>
          <w:rFonts w:ascii="Cambria" w:cs="Cambria" w:eastAsia="Cambria" w:hAnsi="Cambria"/>
          <w:sz w:val="22"/>
          <w:szCs w:val="22"/>
        </w:rPr>
        <w:t xml:space="preserve">A negative-example set per instance: outputs that the specification rejects, with the rejecting predicate annotated. Negative examples are essential for validating the rubric itself.</w:t>
      </w:r>
    </w:p>
    <w:p>
      <w:pPr>
        <w:pStyle w:val="ListParagraph"/>
        <w:numPr>
          <w:ilvl w:val="0"/>
          <w:numId w:val="2"/>
        </w:numPr>
        <w:spacing w:after="80" w:line="280"/>
      </w:pPr>
      <w:r>
        <w:rPr>
          <w:rFonts w:ascii="Cambria" w:cs="Cambria" w:eastAsia="Cambria" w:hAnsi="Cambria"/>
          <w:sz w:val="22"/>
          <w:szCs w:val="22"/>
        </w:rPr>
        <w:t xml:space="preserve">Reviewer pool composition documented to surface labeling bias.</w:t>
      </w:r>
    </w:p>
    <w:p>
      <w:pPr>
        <w:pStyle w:val="Heading2"/>
        <w:spacing w:after="140" w:before="280"/>
      </w:pPr>
      <w:r>
        <w:rPr>
          <w:rFonts w:ascii="Cambria" w:cs="Cambria" w:eastAsia="Cambria" w:hAnsi="Cambria"/>
          <w:b/>
          <w:bCs/>
          <w:sz w:val="26"/>
          <w:szCs w:val="26"/>
        </w:rPr>
        <w:t xml:space="preserve">3.5. Test Set Rotation</w:t>
      </w:r>
    </w:p>
    <w:p>
      <w:pPr>
        <w:spacing w:after="120" w:line="280"/>
        <w:jc w:val="both"/>
      </w:pPr>
      <w:r>
        <w:rPr>
          <w:rFonts w:ascii="Cambria" w:cs="Cambria" w:eastAsia="Cambria" w:hAnsi="Cambria"/>
          <w:sz w:val="22"/>
          <w:szCs w:val="22"/>
        </w:rPr>
        <w:t xml:space="preserve">The 1,600-instance test split MUST rotate quarterly. Procedure:</w:t>
      </w:r>
    </w:p>
    <w:p>
      <w:pPr>
        <w:pStyle w:val="ListParagraph"/>
        <w:numPr>
          <w:ilvl w:val="0"/>
          <w:numId w:val="2"/>
        </w:numPr>
        <w:spacing w:after="80" w:line="280"/>
      </w:pPr>
      <w:r>
        <w:rPr>
          <w:rFonts w:ascii="Cambria" w:cs="Cambria" w:eastAsia="Cambria" w:hAnsi="Cambria"/>
          <w:sz w:val="22"/>
          <w:szCs w:val="22"/>
        </w:rPr>
        <w:t xml:space="preserve">At each rotation, 400 instances are retired from the test split and added to the public training split.</w:t>
      </w:r>
    </w:p>
    <w:p>
      <w:pPr>
        <w:pStyle w:val="ListParagraph"/>
        <w:numPr>
          <w:ilvl w:val="0"/>
          <w:numId w:val="2"/>
        </w:numPr>
        <w:spacing w:after="80" w:line="280"/>
      </w:pPr>
      <w:r>
        <w:rPr>
          <w:rFonts w:ascii="Cambria" w:cs="Cambria" w:eastAsia="Cambria" w:hAnsi="Cambria"/>
          <w:sz w:val="22"/>
          <w:szCs w:val="22"/>
        </w:rPr>
        <w:t xml:space="preserve">400 newly-constructed instances replace them, drawn from the same sub-class distribution.</w:t>
      </w:r>
    </w:p>
    <w:p>
      <w:pPr>
        <w:pStyle w:val="ListParagraph"/>
        <w:numPr>
          <w:ilvl w:val="0"/>
          <w:numId w:val="2"/>
        </w:numPr>
        <w:spacing w:after="80" w:line="280"/>
      </w:pPr>
      <w:r>
        <w:rPr>
          <w:rFonts w:ascii="Cambria" w:cs="Cambria" w:eastAsia="Cambria" w:hAnsi="Cambria"/>
          <w:sz w:val="22"/>
          <w:szCs w:val="22"/>
        </w:rPr>
        <w:t xml:space="preserve">Rotation MUST be announced at least 30 days before activation, with the new corpus version hash published in advance.</w:t>
      </w:r>
    </w:p>
    <w:p>
      <w:pPr>
        <w:pStyle w:val="ListParagraph"/>
        <w:numPr>
          <w:ilvl w:val="0"/>
          <w:numId w:val="2"/>
        </w:numPr>
        <w:spacing w:after="80" w:line="280"/>
      </w:pPr>
      <w:r>
        <w:rPr>
          <w:rFonts w:ascii="Cambria" w:cs="Cambria" w:eastAsia="Cambria" w:hAnsi="Cambria"/>
          <w:sz w:val="22"/>
          <w:szCs w:val="22"/>
        </w:rPr>
        <w:t xml:space="preserve">Certificates issued under a previous corpus version remain valid but MUST cite the corpus version in the certificate.</w:t>
      </w:r>
    </w:p>
    <w:p>
      <w:pPr>
        <w:pStyle w:val="Heading2"/>
        <w:spacing w:after="140" w:before="280"/>
      </w:pPr>
      <w:r>
        <w:rPr>
          <w:rFonts w:ascii="Cambria" w:cs="Cambria" w:eastAsia="Cambria" w:hAnsi="Cambria"/>
          <w:b/>
          <w:bCs/>
          <w:sz w:val="26"/>
          <w:szCs w:val="26"/>
        </w:rPr>
        <w:t xml:space="preserve">3.6. Distribution</w:t>
      </w:r>
    </w:p>
    <w:p>
      <w:pPr>
        <w:shd w:fill="F4F4F4" w:val="clear"/>
        <w:spacing w:after="140" w:before="100" w:line="260"/>
        <w:jc w:val="left"/>
      </w:pPr>
      <w:r>
        <w:rPr>
          <w:rFonts w:ascii="Consolas" w:cs="Consolas" w:eastAsia="Consolas" w:hAnsi="Consolas"/>
          <w:sz w:val="18"/>
          <w:szCs w:val="18"/>
        </w:rPr>
        <w:t xml:space="preserve">eval-001-corpus-v0.1.tar.zst
  manifest.json                       # version, hash, instance count, splits
  schemas/                            # JSON Schema per sub-class
  constraint-language-spec.md         # §4.2 reference
  instances/&lt;sub_class&gt;/&lt;id&gt;/
    intent.json                       # input intent record
    schema.ref                        # pointer to schemas/&lt;sub_class&gt;.json
    context/                          # context bundle (may be empty)
    specification.json                # constraints + rubric
    reference_outputs/*.json          # illustrative valid outputs
    negative_examples/*.json          # rejected outputs + reason
    provenance.json                   # construction metadata
  splits/
    train.txt
    test.txt
  signatures/
    &lt;maintainer_pubkey&gt;.sig</w:t>
      </w:r>
    </w:p>
    <w:p>
      <w:pPr>
        <w:pStyle w:val="Heading1"/>
        <w:pageBreakBefore/>
        <w:spacing w:after="180" w:before="0"/>
      </w:pPr>
      <w:r>
        <w:rPr>
          <w:rFonts w:ascii="Cambria" w:cs="Cambria" w:eastAsia="Cambria" w:hAnsi="Cambria"/>
          <w:b/>
          <w:bCs/>
          <w:sz w:val="30"/>
          <w:szCs w:val="30"/>
        </w:rPr>
        <w:t xml:space="preserve">4. Rubric</w:t>
      </w:r>
    </w:p>
    <w:p>
      <w:pPr>
        <w:spacing w:after="120" w:line="280"/>
        <w:jc w:val="both"/>
      </w:pPr>
      <w:r>
        <w:rPr>
          <w:rFonts w:ascii="Cambria" w:cs="Cambria" w:eastAsia="Cambria" w:hAnsi="Cambria"/>
          <w:sz w:val="22"/>
          <w:szCs w:val="22"/>
        </w:rPr>
        <w:t xml:space="preserve">Scoring proceeds in three deterministic layers, each independently pass/fail. An instance passes only if all three layers pass. Each layer's mechanics are specified below.</w:t>
      </w:r>
    </w:p>
    <w:p>
      <w:pPr>
        <w:pStyle w:val="Heading2"/>
        <w:spacing w:after="140" w:before="280"/>
      </w:pPr>
      <w:r>
        <w:rPr>
          <w:rFonts w:ascii="Cambria" w:cs="Cambria" w:eastAsia="Cambria" w:hAnsi="Cambria"/>
          <w:b/>
          <w:bCs/>
          <w:sz w:val="26"/>
          <w:szCs w:val="26"/>
        </w:rPr>
        <w:t xml:space="preserve">4.1. Layer 1 — Structural Validity</w:t>
      </w:r>
    </w:p>
    <w:p>
      <w:pPr>
        <w:spacing w:after="120" w:line="280"/>
        <w:jc w:val="both"/>
      </w:pPr>
      <w:r>
        <w:rPr>
          <w:rFonts w:ascii="Cambria" w:cs="Cambria" w:eastAsia="Cambria" w:hAnsi="Cambria"/>
          <w:sz w:val="22"/>
          <w:szCs w:val="22"/>
        </w:rPr>
        <w:t xml:space="preserve">The output record MUST validate bit-identically against the JSON Schema attached to the instance. Validation MUST use a content-addressed validator (the reference scorer ships with one, §5.2). Failure modes:</w:t>
      </w:r>
    </w:p>
    <w:p>
      <w:pPr>
        <w:pStyle w:val="ListParagraph"/>
        <w:numPr>
          <w:ilvl w:val="0"/>
          <w:numId w:val="2"/>
        </w:numPr>
        <w:spacing w:after="80" w:line="280"/>
      </w:pPr>
      <w:r>
        <w:rPr>
          <w:rFonts w:ascii="Cambria" w:cs="Cambria" w:eastAsia="Cambria" w:hAnsi="Cambria"/>
          <w:sz w:val="22"/>
          <w:szCs w:val="22"/>
        </w:rPr>
        <w:t xml:space="preserve">Missing required fields: FAIL.</w:t>
      </w:r>
    </w:p>
    <w:p>
      <w:pPr>
        <w:pStyle w:val="ListParagraph"/>
        <w:numPr>
          <w:ilvl w:val="0"/>
          <w:numId w:val="2"/>
        </w:numPr>
        <w:spacing w:after="80" w:line="280"/>
      </w:pPr>
      <w:r>
        <w:rPr>
          <w:rFonts w:ascii="Cambria" w:cs="Cambria" w:eastAsia="Cambria" w:hAnsi="Cambria"/>
          <w:sz w:val="22"/>
          <w:szCs w:val="22"/>
        </w:rPr>
        <w:t xml:space="preserve">Type mismatches: FAIL.</w:t>
      </w:r>
    </w:p>
    <w:p>
      <w:pPr>
        <w:pStyle w:val="ListParagraph"/>
        <w:numPr>
          <w:ilvl w:val="0"/>
          <w:numId w:val="2"/>
        </w:numPr>
        <w:spacing w:after="80" w:line="280"/>
      </w:pPr>
      <w:r>
        <w:rPr>
          <w:rFonts w:ascii="Cambria" w:cs="Cambria" w:eastAsia="Cambria" w:hAnsi="Cambria"/>
          <w:sz w:val="22"/>
          <w:szCs w:val="22"/>
        </w:rPr>
        <w:t xml:space="preserve">Constraint violations expressible in JSON Schema (minLength, pattern, enum, etc.): FAIL.</w:t>
      </w:r>
    </w:p>
    <w:p>
      <w:pPr>
        <w:pStyle w:val="ListParagraph"/>
        <w:numPr>
          <w:ilvl w:val="0"/>
          <w:numId w:val="2"/>
        </w:numPr>
        <w:spacing w:after="80" w:line="280"/>
      </w:pPr>
      <w:r>
        <w:rPr>
          <w:rFonts w:ascii="Cambria" w:cs="Cambria" w:eastAsia="Cambria" w:hAnsi="Cambria"/>
          <w:sz w:val="22"/>
          <w:szCs w:val="22"/>
        </w:rPr>
        <w:t xml:space="preserve">Additional properties beyond schema: FAIL (additionalProperties is always false).</w:t>
      </w:r>
    </w:p>
    <w:p>
      <w:pPr>
        <w:pStyle w:val="ListParagraph"/>
        <w:numPr>
          <w:ilvl w:val="0"/>
          <w:numId w:val="2"/>
        </w:numPr>
        <w:spacing w:after="80" w:line="280"/>
      </w:pPr>
      <w:r>
        <w:rPr>
          <w:rFonts w:ascii="Cambria" w:cs="Cambria" w:eastAsia="Cambria" w:hAnsi="Cambria"/>
          <w:sz w:val="22"/>
          <w:szCs w:val="22"/>
        </w:rPr>
        <w:t xml:space="preserve">Validates: PASS.</w:t>
      </w:r>
    </w:p>
    <w:p>
      <w:pPr>
        <w:pStyle w:val="Heading2"/>
        <w:spacing w:after="140" w:before="280"/>
      </w:pPr>
      <w:r>
        <w:rPr>
          <w:rFonts w:ascii="Cambria" w:cs="Cambria" w:eastAsia="Cambria" w:hAnsi="Cambria"/>
          <w:b/>
          <w:bCs/>
          <w:sz w:val="26"/>
          <w:szCs w:val="26"/>
        </w:rPr>
        <w:t xml:space="preserve">4.2. Layer 2 — Constraint Satisfaction</w:t>
      </w:r>
    </w:p>
    <w:p>
      <w:pPr>
        <w:spacing w:after="120" w:line="280"/>
        <w:jc w:val="both"/>
      </w:pPr>
      <w:r>
        <w:rPr>
          <w:rFonts w:ascii="Cambria" w:cs="Cambria" w:eastAsia="Cambria" w:hAnsi="Cambria"/>
          <w:sz w:val="22"/>
          <w:szCs w:val="22"/>
        </w:rPr>
        <w:t xml:space="preserve">Beyond schema validation, each instance carries a constraint set authored in a small expression language that MUST be evaluated deterministically. The constraint language is defined as follows:</w:t>
      </w:r>
    </w:p>
    <w:p>
      <w:pPr>
        <w:shd w:fill="F4F4F4" w:val="clear"/>
        <w:spacing w:after="140" w:before="100" w:line="260"/>
        <w:jc w:val="left"/>
      </w:pPr>
      <w:r>
        <w:rPr>
          <w:rFonts w:ascii="Consolas" w:cs="Consolas" w:eastAsia="Consolas" w:hAnsi="Consolas"/>
          <w:sz w:val="18"/>
          <w:szCs w:val="18"/>
        </w:rPr>
        <w:t xml:space="preserve">Expression := Atom | UnaryOp Expression | Expression BinaryOp Expression
            | Function "(" ArgList ")"
Atom       := JSONPointer | Literal
JSONPointer := "$" PathSegment+        # references field in output
PathSegment := "." Identifier | "[" Integer "]"
Literal    := String | Number | Boolean | Null
UnaryOp    := "not"
BinaryOp   := "==" | "!=" | "&lt;" | "&lt;=" | "&gt;" | "&gt;=" | "&amp;&amp;" | "||"
            | "in" | "matches"          # set membership, regex match
Function   := "len" | "type" | "lower" | "upper" | "contains"
            | "starts_with" | "ends_with" | "is_iso_date"
            | "is_email" | "field_present" | "all" | "any"
            | "intent_field" | "context_field"
# 'intent_field' resolves to a field in the input intent.
# 'context_field' resolves to a field in the context bundle.
# Both are read-only.</w:t>
      </w:r>
    </w:p>
    <w:p>
      <w:pPr>
        <w:spacing w:after="120" w:line="280"/>
        <w:jc w:val="both"/>
      </w:pPr>
      <w:r>
        <w:rPr>
          <w:rFonts w:ascii="Cambria" w:cs="Cambria" w:eastAsia="Cambria" w:hAnsi="Cambria"/>
          <w:sz w:val="22"/>
          <w:szCs w:val="22"/>
        </w:rPr>
        <w:t xml:space="preserve">Each constraint is a boolean expression that MUST evaluate to true on the output. Examples drawn from the corpus:</w:t>
      </w:r>
    </w:p>
    <w:p>
      <w:pPr>
        <w:shd w:fill="F4F4F4" w:val="clear"/>
        <w:spacing w:after="140" w:before="100" w:line="260"/>
        <w:jc w:val="left"/>
      </w:pPr>
      <w:r>
        <w:rPr>
          <w:rFonts w:ascii="Consolas" w:cs="Consolas" w:eastAsia="Consolas" w:hAnsi="Consolas"/>
          <w:sz w:val="18"/>
          <w:szCs w:val="18"/>
        </w:rPr>
        <w:t xml:space="preserve"># Calendar event constraint set example:
[
  "$.start &lt; $.end",
  "$.start == intent_field('proposed_start')",
  "$.attendees contains intent_field('requester_email')",
  "len($.title) &gt; 0 &amp;&amp; len($.title) &lt;= 80",
  "not ($.title matches '\\b(meeting|event)\\b')",   # avoid generic titles
  "is_iso_date($.start) &amp;&amp; is_iso_date($.end)"
]</w:t>
      </w:r>
    </w:p>
    <w:p>
      <w:pPr>
        <w:spacing w:after="120" w:line="280"/>
        <w:jc w:val="both"/>
      </w:pPr>
      <w:r>
        <w:rPr>
          <w:rFonts w:ascii="Cambria" w:cs="Cambria" w:eastAsia="Cambria" w:hAnsi="Cambria"/>
          <w:sz w:val="22"/>
          <w:szCs w:val="22"/>
        </w:rPr>
        <w:t xml:space="preserve">Constraint evaluation MUST be deterministic and total (every constraint terminates). The scorer ships with a reference evaluator. An instance passes Layer 2 iff every constraint in its set evaluates to true on the output.</w:t>
      </w:r>
    </w:p>
    <w:p>
      <w:pPr>
        <w:pStyle w:val="Heading2"/>
        <w:spacing w:after="140" w:before="280"/>
      </w:pPr>
      <w:r>
        <w:rPr>
          <w:rFonts w:ascii="Cambria" w:cs="Cambria" w:eastAsia="Cambria" w:hAnsi="Cambria"/>
          <w:b/>
          <w:bCs/>
          <w:sz w:val="26"/>
          <w:szCs w:val="26"/>
        </w:rPr>
        <w:t xml:space="preserve">4.3. Layer 3 — Semantic Appropriateness</w:t>
      </w:r>
    </w:p>
    <w:p>
      <w:pPr>
        <w:spacing w:after="120" w:line="280"/>
        <w:jc w:val="both"/>
      </w:pPr>
      <w:r>
        <w:rPr>
          <w:rFonts w:ascii="Cambria" w:cs="Cambria" w:eastAsia="Cambria" w:hAnsi="Cambria"/>
          <w:sz w:val="22"/>
          <w:szCs w:val="22"/>
        </w:rPr>
        <w:t xml:space="preserve">The hardest layer. Synthesized fields (those marked SYNTHESIZED in §3.2) cannot be checked by exact match or by simple constraint, because multiple semantically-appropriate outputs exist. Eval-001 specifies a tiered approach to keep this layer deterministic where possible and explicitly stochastic only where unavoidable.</w:t>
      </w:r>
    </w:p>
    <w:p>
      <w:pPr>
        <w:pStyle w:val="Heading3"/>
        <w:spacing w:after="120" w:before="220"/>
      </w:pPr>
      <w:r>
        <w:rPr>
          <w:rFonts w:ascii="Cambria" w:cs="Cambria" w:eastAsia="Cambria" w:hAnsi="Cambria"/>
          <w:b/>
          <w:bCs/>
          <w:sz w:val="23"/>
          <w:szCs w:val="23"/>
        </w:rPr>
        <w:t xml:space="preserve">4.3.1. Deterministic semantic checks (preferred)</w:t>
      </w:r>
    </w:p>
    <w:p>
      <w:pPr>
        <w:spacing w:after="120" w:line="280"/>
        <w:jc w:val="both"/>
      </w:pPr>
      <w:r>
        <w:rPr>
          <w:rFonts w:ascii="Cambria" w:cs="Cambria" w:eastAsia="Cambria" w:hAnsi="Cambria"/>
          <w:sz w:val="22"/>
          <w:szCs w:val="22"/>
        </w:rPr>
        <w:t xml:space="preserve">Wherever a semantic property can be checked deterministically, it MUST be expressed as a Layer 2 constraint, not a Layer 3 check. Examples:</w:t>
      </w:r>
    </w:p>
    <w:p>
      <w:pPr>
        <w:pStyle w:val="ListParagraph"/>
        <w:numPr>
          <w:ilvl w:val="0"/>
          <w:numId w:val="2"/>
        </w:numPr>
        <w:spacing w:after="80" w:line="280"/>
      </w:pPr>
      <w:r>
        <w:rPr>
          <w:rFonts w:ascii="Cambria" w:cs="Cambria" w:eastAsia="Cambria" w:hAnsi="Cambria"/>
          <w:sz w:val="22"/>
          <w:szCs w:val="22"/>
        </w:rPr>
        <w:t xml:space="preserve">"Reply does not commit to attending" → constraint: not ($.body matches '(?i)\\b(yes|will attend|see you)\\b').</w:t>
      </w:r>
    </w:p>
    <w:p>
      <w:pPr>
        <w:pStyle w:val="ListParagraph"/>
        <w:numPr>
          <w:ilvl w:val="0"/>
          <w:numId w:val="2"/>
        </w:numPr>
        <w:spacing w:after="80" w:line="280"/>
      </w:pPr>
      <w:r>
        <w:rPr>
          <w:rFonts w:ascii="Cambria" w:cs="Cambria" w:eastAsia="Cambria" w:hAnsi="Cambria"/>
          <w:sz w:val="22"/>
          <w:szCs w:val="22"/>
        </w:rPr>
        <w:t xml:space="preserve">"Confirmation references the order ID" → constraint: $.body contains intent_field('order_id').</w:t>
      </w:r>
    </w:p>
    <w:p>
      <w:pPr>
        <w:pStyle w:val="ListParagraph"/>
        <w:numPr>
          <w:ilvl w:val="0"/>
          <w:numId w:val="2"/>
        </w:numPr>
        <w:spacing w:after="80" w:line="280"/>
      </w:pPr>
      <w:r>
        <w:rPr>
          <w:rFonts w:ascii="Cambria" w:cs="Cambria" w:eastAsia="Cambria" w:hAnsi="Cambria"/>
          <w:sz w:val="22"/>
          <w:szCs w:val="22"/>
        </w:rPr>
        <w:t xml:space="preserve">"Agenda has at least 3 items" → constraint: len($.items) &gt;= 3.</w:t>
      </w:r>
    </w:p>
    <w:p>
      <w:pPr>
        <w:spacing w:after="120" w:line="280"/>
        <w:jc w:val="both"/>
      </w:pPr>
      <w:r>
        <w:rPr>
          <w:rFonts w:ascii="Cambria" w:cs="Cambria" w:eastAsia="Cambria" w:hAnsi="Cambria"/>
          <w:sz w:val="22"/>
          <w:szCs w:val="22"/>
        </w:rPr>
        <w:t xml:space="preserve">The constraint language is intentionally expressive enough to absorb most semantic checks. Implementations of the corpus SHOULD lift any check expressible deterministically into Layer 2 to minimize Layer 3 surface area.</w:t>
      </w:r>
    </w:p>
    <w:p>
      <w:pPr>
        <w:pStyle w:val="Heading3"/>
        <w:spacing w:after="120" w:before="220"/>
      </w:pPr>
      <w:r>
        <w:rPr>
          <w:rFonts w:ascii="Cambria" w:cs="Cambria" w:eastAsia="Cambria" w:hAnsi="Cambria"/>
          <w:b/>
          <w:bCs/>
          <w:sz w:val="23"/>
          <w:szCs w:val="23"/>
        </w:rPr>
        <w:t xml:space="preserve">4.3.2. Reference-output similarity (when deterministic checks insufficient)</w:t>
      </w:r>
    </w:p>
    <w:p>
      <w:pPr>
        <w:spacing w:after="120" w:line="280"/>
        <w:jc w:val="both"/>
      </w:pPr>
      <w:r>
        <w:rPr>
          <w:rFonts w:ascii="Cambria" w:cs="Cambria" w:eastAsia="Cambria" w:hAnsi="Cambria"/>
          <w:sz w:val="22"/>
          <w:szCs w:val="22"/>
        </w:rPr>
        <w:t xml:space="preserve">For genuinely fuzzy properties (tone, register, conciseness), Eval-001 uses a published similarity rubric that is itself deterministic given a content-addressed reference set. Procedure:</w:t>
      </w:r>
    </w:p>
    <w:p>
      <w:pPr>
        <w:pStyle w:val="ListParagraph"/>
        <w:numPr>
          <w:ilvl w:val="0"/>
          <w:numId w:val="2"/>
        </w:numPr>
        <w:spacing w:after="80" w:line="280"/>
      </w:pPr>
      <w:r>
        <w:rPr>
          <w:rFonts w:ascii="Cambria" w:cs="Cambria" w:eastAsia="Cambria" w:hAnsi="Cambria"/>
          <w:sz w:val="22"/>
          <w:szCs w:val="22"/>
        </w:rPr>
        <w:t xml:space="preserve">Each instance carries 3–5 reference outputs (§3.4).</w:t>
      </w:r>
    </w:p>
    <w:p>
      <w:pPr>
        <w:pStyle w:val="ListParagraph"/>
        <w:numPr>
          <w:ilvl w:val="0"/>
          <w:numId w:val="2"/>
        </w:numPr>
        <w:spacing w:after="80" w:line="280"/>
      </w:pPr>
      <w:r>
        <w:rPr>
          <w:rFonts w:ascii="Cambria" w:cs="Cambria" w:eastAsia="Cambria" w:hAnsi="Cambria"/>
          <w:sz w:val="22"/>
          <w:szCs w:val="22"/>
        </w:rPr>
        <w:t xml:space="preserve">The output MUST match at least one reference output on every rubric dimension within the dimension's tolerance.</w:t>
      </w:r>
    </w:p>
    <w:p>
      <w:pPr>
        <w:pStyle w:val="ListParagraph"/>
        <w:numPr>
          <w:ilvl w:val="0"/>
          <w:numId w:val="2"/>
        </w:numPr>
        <w:spacing w:after="80" w:line="280"/>
      </w:pPr>
      <w:r>
        <w:rPr>
          <w:rFonts w:ascii="Cambria" w:cs="Cambria" w:eastAsia="Cambria" w:hAnsi="Cambria"/>
          <w:sz w:val="22"/>
          <w:szCs w:val="22"/>
        </w:rPr>
        <w:t xml:space="preserve">Rubric dimensions are specified per sub-class. For message synthesis: tone (formal/neutral/casual), register match, length percentile within 25%, content-bearing-token overlap above threshold (computed against the union of references).</w:t>
      </w:r>
    </w:p>
    <w:p>
      <w:pPr>
        <w:pStyle w:val="ListParagraph"/>
        <w:numPr>
          <w:ilvl w:val="0"/>
          <w:numId w:val="2"/>
        </w:numPr>
        <w:spacing w:after="80" w:line="280"/>
      </w:pPr>
      <w:r>
        <w:rPr>
          <w:rFonts w:ascii="Cambria" w:cs="Cambria" w:eastAsia="Cambria" w:hAnsi="Cambria"/>
          <w:sz w:val="22"/>
          <w:szCs w:val="22"/>
        </w:rPr>
        <w:t xml:space="preserve">Rubric scoring uses fixed open-source NLP utilities (tokenizer, POS-tagger, register classifier) that are content-addressed and version-pinned. The scorer's results are reproducible.</w:t>
      </w:r>
    </w:p>
    <w:p>
      <w:pPr>
        <w:pStyle w:val="Heading3"/>
        <w:spacing w:after="120" w:before="220"/>
      </w:pPr>
      <w:r>
        <w:rPr>
          <w:rFonts w:ascii="Cambria" w:cs="Cambria" w:eastAsia="Cambria" w:hAnsi="Cambria"/>
          <w:b/>
          <w:bCs/>
          <w:sz w:val="23"/>
          <w:szCs w:val="23"/>
        </w:rPr>
        <w:t xml:space="preserve">4.3.3. Layer 3 forbidden mechanisms</w:t>
      </w:r>
    </w:p>
    <w:p>
      <w:pPr>
        <w:spacing w:after="120" w:line="280"/>
        <w:jc w:val="both"/>
      </w:pPr>
      <w:r>
        <w:rPr>
          <w:rFonts w:ascii="Cambria" w:cs="Cambria" w:eastAsia="Cambria" w:hAnsi="Cambria"/>
          <w:sz w:val="22"/>
          <w:szCs w:val="22"/>
        </w:rPr>
        <w:t xml:space="preserve">Eval-001 explicitly forbids the following scoring mechanisms because they introduce stochasticity into the rubric itself, defeating the purpose of an honest standard:</w:t>
      </w:r>
    </w:p>
    <w:p>
      <w:pPr>
        <w:pStyle w:val="ListParagraph"/>
        <w:numPr>
          <w:ilvl w:val="0"/>
          <w:numId w:val="2"/>
        </w:numPr>
        <w:spacing w:after="80" w:line="280"/>
      </w:pPr>
      <w:r>
        <w:rPr>
          <w:rFonts w:ascii="Cambria" w:cs="Cambria" w:eastAsia="Cambria" w:hAnsi="Cambria"/>
          <w:sz w:val="22"/>
          <w:szCs w:val="22"/>
        </w:rPr>
        <w:t xml:space="preserve">LLM-as-judge. Using a generative model to score outputs is forbidden. Such judges are non-reproducible across runs, biased toward outputs from similar models, and gameable in ways the rubric author cannot predict.</w:t>
      </w:r>
    </w:p>
    <w:p>
      <w:pPr>
        <w:pStyle w:val="ListParagraph"/>
        <w:numPr>
          <w:ilvl w:val="0"/>
          <w:numId w:val="2"/>
        </w:numPr>
        <w:spacing w:after="80" w:line="280"/>
      </w:pPr>
      <w:r>
        <w:rPr>
          <w:rFonts w:ascii="Cambria" w:cs="Cambria" w:eastAsia="Cambria" w:hAnsi="Cambria"/>
          <w:sz w:val="22"/>
          <w:szCs w:val="22"/>
        </w:rPr>
        <w:t xml:space="preserve">Embedding similarity to a single reference. Using cosine similarity to a single reference output collapses a multi-modal valid space to a unimodal one, penalizing legitimate variation.</w:t>
      </w:r>
    </w:p>
    <w:p>
      <w:pPr>
        <w:pStyle w:val="ListParagraph"/>
        <w:numPr>
          <w:ilvl w:val="0"/>
          <w:numId w:val="2"/>
        </w:numPr>
        <w:spacing w:after="80" w:line="280"/>
      </w:pPr>
      <w:r>
        <w:rPr>
          <w:rFonts w:ascii="Cambria" w:cs="Cambria" w:eastAsia="Cambria" w:hAnsi="Cambria"/>
          <w:sz w:val="22"/>
          <w:szCs w:val="22"/>
        </w:rPr>
        <w:t xml:space="preserve">Human evaluation in the scoring loop. Human review is appropriate for corpus construction (§3.4) but MUST NOT be in the scoring path. Scoring MUST be reproducible from inputs alone.</w:t>
      </w:r>
    </w:p>
    <w:p>
      <w:pPr>
        <w:pStyle w:val="Heading2"/>
        <w:spacing w:after="140" w:before="280"/>
      </w:pPr>
      <w:r>
        <w:rPr>
          <w:rFonts w:ascii="Cambria" w:cs="Cambria" w:eastAsia="Cambria" w:hAnsi="Cambria"/>
          <w:b/>
          <w:bCs/>
          <w:sz w:val="26"/>
          <w:szCs w:val="26"/>
        </w:rPr>
        <w:t xml:space="preserve">4.4. Aggregate Scoring</w:t>
      </w:r>
    </w:p>
    <w:p>
      <w:pPr>
        <w:spacing w:after="120" w:line="280"/>
        <w:jc w:val="both"/>
      </w:pPr>
      <w:r>
        <w:rPr>
          <w:rFonts w:ascii="Cambria" w:cs="Cambria" w:eastAsia="Cambria" w:hAnsi="Cambria"/>
          <w:sz w:val="22"/>
          <w:szCs w:val="22"/>
        </w:rPr>
        <w:t xml:space="preserve">An instance passes iff Layer 1, Layer 2, and Layer 3 all pass. Aggregate reliability is the proportion of test-split instances passing. Per-layer pass rates MUST also be reported separately, because divergence between layers is diagnostically valuable: a system passing Layer 1 at 99% and Layer 3 at 70% has a different failure profile from a system at 85% across all layers.</w:t>
      </w:r>
    </w:p>
    <w:p>
      <w:pPr>
        <w:pStyle w:val="Heading2"/>
        <w:spacing w:after="140" w:before="280"/>
      </w:pPr>
      <w:r>
        <w:rPr>
          <w:rFonts w:ascii="Cambria" w:cs="Cambria" w:eastAsia="Cambria" w:hAnsi="Cambria"/>
          <w:b/>
          <w:bCs/>
          <w:sz w:val="26"/>
          <w:szCs w:val="26"/>
        </w:rPr>
        <w:t xml:space="preserve">4.5. Per-Sub-Class Floors</w:t>
      </w:r>
    </w:p>
    <w:p>
      <w:pPr>
        <w:spacing w:after="120" w:line="280"/>
        <w:jc w:val="both"/>
      </w:pPr>
      <w:r>
        <w:rPr>
          <w:rFonts w:ascii="Cambria" w:cs="Cambria" w:eastAsia="Cambria" w:hAnsi="Cambria"/>
          <w:sz w:val="22"/>
          <w:szCs w:val="22"/>
        </w:rPr>
        <w:t xml:space="preserve">To prevent gaming through sub-class imbalance, no sub-class MAY score below 90% reliability when the aggregate claim is P2 (95% overall). Per-sub-class scores MUST be reported in the certificate.</w:t>
      </w:r>
    </w:p>
    <w:p>
      <w:pPr>
        <w:pStyle w:val="Heading2"/>
        <w:spacing w:after="140" w:before="280"/>
      </w:pPr>
      <w:r>
        <w:rPr>
          <w:rFonts w:ascii="Cambria" w:cs="Cambria" w:eastAsia="Cambria" w:hAnsi="Cambria"/>
          <w:b/>
          <w:bCs/>
          <w:sz w:val="26"/>
          <w:szCs w:val="26"/>
        </w:rPr>
        <w:t xml:space="preserve">4.6. Adversarial Instance Handling</w:t>
      </w:r>
    </w:p>
    <w:p>
      <w:pPr>
        <w:spacing w:after="120" w:line="280"/>
        <w:jc w:val="both"/>
      </w:pPr>
      <w:r>
        <w:rPr>
          <w:rFonts w:ascii="Cambria" w:cs="Cambria" w:eastAsia="Cambria" w:hAnsi="Cambria"/>
          <w:sz w:val="22"/>
          <w:szCs w:val="22"/>
        </w:rPr>
        <w:t xml:space="preserve">Approximately 10% of corpus instances are adversarial (§3.2). Behavior on these instances is scored separately:</w:t>
      </w:r>
    </w:p>
    <w:p>
      <w:pPr>
        <w:pStyle w:val="ListParagraph"/>
        <w:numPr>
          <w:ilvl w:val="0"/>
          <w:numId w:val="2"/>
        </w:numPr>
        <w:spacing w:after="80" w:line="280"/>
      </w:pPr>
      <w:r>
        <w:rPr>
          <w:rFonts w:ascii="Cambria" w:cs="Cambria" w:eastAsia="Cambria" w:hAnsi="Cambria"/>
          <w:sz w:val="22"/>
          <w:szCs w:val="22"/>
        </w:rPr>
        <w:t xml:space="preserve">For instances with contradictory constraints, the correct output is a typed rejection record, not a generated output. Generating an output instead of rejecting: FAIL.</w:t>
      </w:r>
    </w:p>
    <w:p>
      <w:pPr>
        <w:pStyle w:val="ListParagraph"/>
        <w:numPr>
          <w:ilvl w:val="0"/>
          <w:numId w:val="2"/>
        </w:numPr>
        <w:spacing w:after="80" w:line="280"/>
      </w:pPr>
      <w:r>
        <w:rPr>
          <w:rFonts w:ascii="Cambria" w:cs="Cambria" w:eastAsia="Cambria" w:hAnsi="Cambria"/>
          <w:sz w:val="22"/>
          <w:szCs w:val="22"/>
        </w:rPr>
        <w:t xml:space="preserve">For instances with schema-violating intent, the system MUST reject with the violation cited. Generating an output that hides the violation: FAIL.</w:t>
      </w:r>
    </w:p>
    <w:p>
      <w:pPr>
        <w:pStyle w:val="ListParagraph"/>
        <w:numPr>
          <w:ilvl w:val="0"/>
          <w:numId w:val="2"/>
        </w:numPr>
        <w:spacing w:after="80" w:line="280"/>
      </w:pPr>
      <w:r>
        <w:rPr>
          <w:rFonts w:ascii="Cambria" w:cs="Cambria" w:eastAsia="Cambria" w:hAnsi="Cambria"/>
          <w:sz w:val="22"/>
          <w:szCs w:val="22"/>
        </w:rPr>
        <w:t xml:space="preserve">Adversarial pass rate MUST be reported as a separate metric.</w:t>
      </w:r>
    </w:p>
    <w:p>
      <w:pPr>
        <w:pStyle w:val="Heading1"/>
        <w:pageBreakBefore/>
        <w:spacing w:after="180" w:before="0"/>
      </w:pPr>
      <w:r>
        <w:rPr>
          <w:rFonts w:ascii="Cambria" w:cs="Cambria" w:eastAsia="Cambria" w:hAnsi="Cambria"/>
          <w:b/>
          <w:bCs/>
          <w:sz w:val="30"/>
          <w:szCs w:val="30"/>
        </w:rPr>
        <w:t xml:space="preserve">5. Scoring Procedure</w:t>
      </w:r>
    </w:p>
    <w:p>
      <w:pPr>
        <w:pStyle w:val="Heading2"/>
        <w:spacing w:after="140" w:before="280"/>
      </w:pPr>
      <w:r>
        <w:rPr>
          <w:rFonts w:ascii="Cambria" w:cs="Cambria" w:eastAsia="Cambria" w:hAnsi="Cambria"/>
          <w:b/>
          <w:bCs/>
          <w:sz w:val="26"/>
          <w:szCs w:val="26"/>
        </w:rPr>
        <w:t xml:space="preserve">5.1. Reference Scorer</w:t>
      </w:r>
    </w:p>
    <w:p>
      <w:pPr>
        <w:spacing w:after="120" w:line="280"/>
        <w:jc w:val="both"/>
      </w:pPr>
      <w:r>
        <w:rPr>
          <w:rFonts w:ascii="Cambria" w:cs="Cambria" w:eastAsia="Cambria" w:hAnsi="Cambria"/>
          <w:sz w:val="22"/>
          <w:szCs w:val="22"/>
        </w:rPr>
        <w:t xml:space="preserve">Scoring MUST be performed by a single open-source reference scorer published alongside the corpus. The reference scorer is the canonical interpretation of this document; where prose and scorer disagree, the scorer is authoritative for certification.</w:t>
      </w:r>
    </w:p>
    <w:p>
      <w:pPr>
        <w:pStyle w:val="Heading2"/>
        <w:spacing w:after="140" w:before="280"/>
      </w:pPr>
      <w:r>
        <w:rPr>
          <w:rFonts w:ascii="Cambria" w:cs="Cambria" w:eastAsia="Cambria" w:hAnsi="Cambria"/>
          <w:b/>
          <w:bCs/>
          <w:sz w:val="26"/>
          <w:szCs w:val="26"/>
        </w:rPr>
        <w:t xml:space="preserve">5.2. Reference Scorer Interface</w:t>
      </w:r>
    </w:p>
    <w:p>
      <w:pPr>
        <w:shd w:fill="F4F4F4" w:val="clear"/>
        <w:spacing w:after="140" w:before="100" w:line="260"/>
        <w:jc w:val="left"/>
      </w:pPr>
      <w:r>
        <w:rPr>
          <w:rFonts w:ascii="Consolas" w:cs="Consolas" w:eastAsia="Consolas" w:hAnsi="Consolas"/>
          <w:sz w:val="18"/>
          <w:szCs w:val="18"/>
        </w:rPr>
        <w:t xml:space="preserve">eval-001-score \
  --corpus     &lt;hash&gt;          \
  --predictions &lt;path&gt;         \
  --energy-log  &lt;path&gt;         \
  --output      &lt;certificate.json&gt;
predictions  : JSONL, one per instance:
               { "instance_id": "...",
                 "output": { ... },
                 "rejected": &lt;bool&gt;,
                 "rejection_reason": "..." (if rejected)
               }
energy-log   : JSONL, one per instance:
               { "instance_id": "...",
                 "joules": &lt;float&gt;, "wall_ms": &lt;int&gt;,
                 "tier_trace": [...]
               }</w:t>
      </w:r>
    </w:p>
    <w:p>
      <w:pPr>
        <w:pStyle w:val="Heading2"/>
        <w:spacing w:after="140" w:before="280"/>
      </w:pPr>
      <w:r>
        <w:rPr>
          <w:rFonts w:ascii="Cambria" w:cs="Cambria" w:eastAsia="Cambria" w:hAnsi="Cambria"/>
          <w:b/>
          <w:bCs/>
          <w:sz w:val="26"/>
          <w:szCs w:val="26"/>
        </w:rPr>
        <w:t xml:space="preserve">5.3. Determinism</w:t>
      </w:r>
    </w:p>
    <w:p>
      <w:pPr>
        <w:spacing w:after="120" w:line="280"/>
        <w:jc w:val="both"/>
      </w:pPr>
      <w:r>
        <w:rPr>
          <w:rFonts w:ascii="Cambria" w:cs="Cambria" w:eastAsia="Cambria" w:hAnsi="Cambria"/>
          <w:sz w:val="22"/>
          <w:szCs w:val="22"/>
        </w:rPr>
        <w:t xml:space="preserve">The reference scorer MUST be deterministic. Identical predictions and energy logs MUST produce a bit-identical certificate. Scorer source is content-addressed; certificate cites scorer version. All NLP utilities used in Layer 3.2 (tokenizer, POS-tagger, register classifier) are content-addressed and version-pinned to the scorer release.</w:t>
      </w:r>
    </w:p>
    <w:p>
      <w:pPr>
        <w:pStyle w:val="Heading2"/>
        <w:spacing w:after="140" w:before="280"/>
      </w:pPr>
      <w:r>
        <w:rPr>
          <w:rFonts w:ascii="Cambria" w:cs="Cambria" w:eastAsia="Cambria" w:hAnsi="Cambria"/>
          <w:b/>
          <w:bCs/>
          <w:sz w:val="26"/>
          <w:szCs w:val="26"/>
        </w:rPr>
        <w:t xml:space="preserve">5.4. Cross-Verification</w:t>
      </w:r>
    </w:p>
    <w:p>
      <w:pPr>
        <w:spacing w:after="120" w:line="280"/>
        <w:jc w:val="both"/>
      </w:pPr>
      <w:r>
        <w:rPr>
          <w:rFonts w:ascii="Cambria" w:cs="Cambria" w:eastAsia="Cambria" w:hAnsi="Cambria"/>
          <w:sz w:val="22"/>
          <w:szCs w:val="22"/>
        </w:rPr>
        <w:t xml:space="preserve">Any party MAY re-run the scorer against any published prediction and energy log. Re-runs producing divergent certificates indicate either a corrupt log, a scorer version mismatch, or an attempted forgery. The local-reputation mechanism in EOC-1 §10.4 SHOULD reflect such discrepancies.</w:t>
      </w:r>
    </w:p>
    <w:p>
      <w:pPr>
        <w:pStyle w:val="Heading1"/>
        <w:pageBreakBefore/>
        <w:spacing w:after="180" w:before="0"/>
      </w:pPr>
      <w:r>
        <w:rPr>
          <w:rFonts w:ascii="Cambria" w:cs="Cambria" w:eastAsia="Cambria" w:hAnsi="Cambria"/>
          <w:b/>
          <w:bCs/>
          <w:sz w:val="30"/>
          <w:szCs w:val="30"/>
        </w:rPr>
        <w:t xml:space="preserve">6. Energy Measurement</w:t>
      </w:r>
    </w:p>
    <w:p>
      <w:pPr>
        <w:spacing w:after="120" w:line="280"/>
        <w:jc w:val="both"/>
      </w:pPr>
      <w:r>
        <w:rPr>
          <w:rFonts w:ascii="Cambria" w:cs="Cambria" w:eastAsia="Cambria" w:hAnsi="Cambria"/>
          <w:sz w:val="22"/>
          <w:szCs w:val="22"/>
        </w:rPr>
        <w:t xml:space="preserve">Energy honesty is the load-bearing claim of EOC. A reliability score without a paired energy measurement is not a valid Eval-001 certificate. This section is identical in structure to its analog in any future Eval; the specifics differ.</w:t>
      </w:r>
    </w:p>
    <w:p>
      <w:pPr>
        <w:pStyle w:val="Heading2"/>
        <w:spacing w:after="140" w:before="280"/>
      </w:pPr>
      <w:r>
        <w:rPr>
          <w:rFonts w:ascii="Cambria" w:cs="Cambria" w:eastAsia="Cambria" w:hAnsi="Cambria"/>
          <w:b/>
          <w:bCs/>
          <w:sz w:val="26"/>
          <w:szCs w:val="26"/>
        </w:rPr>
        <w:t xml:space="preserve">6.1. Reference Hardware</w:t>
      </w:r>
    </w:p>
    <w:p>
      <w:pPr>
        <w:pStyle w:val="ListParagraph"/>
        <w:numPr>
          <w:ilvl w:val="0"/>
          <w:numId w:val="2"/>
        </w:numPr>
        <w:spacing w:after="80" w:line="280"/>
      </w:pPr>
      <w:r>
        <w:rPr>
          <w:rFonts w:ascii="Cambria" w:cs="Cambria" w:eastAsia="Cambria" w:hAnsi="Cambria"/>
          <w:sz w:val="22"/>
          <w:szCs w:val="22"/>
        </w:rPr>
        <w:t xml:space="preserve">CPU: single-socket Intel Xeon-class with AMX support, 32 cores baseline, no SMT for measurement runs.</w:t>
      </w:r>
    </w:p>
    <w:p>
      <w:pPr>
        <w:pStyle w:val="ListParagraph"/>
        <w:numPr>
          <w:ilvl w:val="0"/>
          <w:numId w:val="2"/>
        </w:numPr>
        <w:spacing w:after="80" w:line="280"/>
      </w:pPr>
      <w:r>
        <w:rPr>
          <w:rFonts w:ascii="Cambria" w:cs="Cambria" w:eastAsia="Cambria" w:hAnsi="Cambria"/>
          <w:sz w:val="22"/>
          <w:szCs w:val="22"/>
        </w:rPr>
        <w:t xml:space="preserve">Memory: 128 GB DDR5-4800, ECC.</w:t>
      </w:r>
    </w:p>
    <w:p>
      <w:pPr>
        <w:pStyle w:val="ListParagraph"/>
        <w:numPr>
          <w:ilvl w:val="0"/>
          <w:numId w:val="2"/>
        </w:numPr>
        <w:spacing w:after="80" w:line="280"/>
      </w:pPr>
      <w:r>
        <w:rPr>
          <w:rFonts w:ascii="Cambria" w:cs="Cambria" w:eastAsia="Cambria" w:hAnsi="Cambria"/>
          <w:sz w:val="22"/>
          <w:szCs w:val="22"/>
        </w:rPr>
        <w:t xml:space="preserve">Storage: NVMe local, ≥ 2 GB/s sequential read.</w:t>
      </w:r>
    </w:p>
    <w:p>
      <w:pPr>
        <w:pStyle w:val="ListParagraph"/>
        <w:numPr>
          <w:ilvl w:val="0"/>
          <w:numId w:val="2"/>
        </w:numPr>
        <w:spacing w:after="80" w:line="280"/>
      </w:pPr>
      <w:r>
        <w:rPr>
          <w:rFonts w:ascii="Cambria" w:cs="Cambria" w:eastAsia="Cambria" w:hAnsi="Cambria"/>
          <w:sz w:val="22"/>
          <w:szCs w:val="22"/>
        </w:rPr>
        <w:t xml:space="preserve">No discrete GPU. Integrated graphics, if present, MUST be disabled or unused.</w:t>
      </w:r>
    </w:p>
    <w:p>
      <w:pPr>
        <w:pStyle w:val="ListParagraph"/>
        <w:numPr>
          <w:ilvl w:val="0"/>
          <w:numId w:val="2"/>
        </w:numPr>
        <w:spacing w:after="80" w:line="280"/>
      </w:pPr>
      <w:r>
        <w:rPr>
          <w:rFonts w:ascii="Cambria" w:cs="Cambria" w:eastAsia="Cambria" w:hAnsi="Cambria"/>
          <w:sz w:val="22"/>
          <w:szCs w:val="22"/>
        </w:rPr>
        <w:t xml:space="preserve">Operating system: open-source kernel (Linux ≥ 6.6), tickless idle, performance governor.</w:t>
      </w:r>
    </w:p>
    <w:p>
      <w:pPr>
        <w:pStyle w:val="ListParagraph"/>
        <w:numPr>
          <w:ilvl w:val="0"/>
          <w:numId w:val="2"/>
        </w:numPr>
        <w:spacing w:after="80" w:line="280"/>
      </w:pPr>
      <w:r>
        <w:rPr>
          <w:rFonts w:ascii="Cambria" w:cs="Cambria" w:eastAsia="Cambria" w:hAnsi="Cambria"/>
          <w:sz w:val="22"/>
          <w:szCs w:val="22"/>
        </w:rPr>
        <w:t xml:space="preserve">Network: isolated, no incoming traffic during the run.</w:t>
      </w:r>
    </w:p>
    <w:p>
      <w:pPr>
        <w:spacing w:after="120" w:line="280"/>
        <w:jc w:val="both"/>
      </w:pPr>
      <w:r>
        <w:rPr>
          <w:rFonts w:ascii="Cambria" w:cs="Cambria" w:eastAsia="Cambria" w:hAnsi="Cambria"/>
          <w:sz w:val="22"/>
          <w:szCs w:val="22"/>
        </w:rPr>
        <w:t xml:space="preserve">Implementations MAY publish certificates against alternative reference platforms. The platform MUST be reported in full in the certificate. Cross-platform comparison is informative, not normative.</w:t>
      </w:r>
    </w:p>
    <w:p>
      <w:pPr>
        <w:pStyle w:val="Heading2"/>
        <w:spacing w:after="140" w:before="280"/>
      </w:pPr>
      <w:r>
        <w:rPr>
          <w:rFonts w:ascii="Cambria" w:cs="Cambria" w:eastAsia="Cambria" w:hAnsi="Cambria"/>
          <w:b/>
          <w:bCs/>
          <w:sz w:val="26"/>
          <w:szCs w:val="26"/>
        </w:rPr>
        <w:t xml:space="preserve">6.2. Measurement Method</w:t>
      </w:r>
    </w:p>
    <w:p>
      <w:pPr>
        <w:pStyle w:val="ListParagraph"/>
        <w:numPr>
          <w:ilvl w:val="0"/>
          <w:numId w:val="2"/>
        </w:numPr>
        <w:spacing w:after="80" w:line="280"/>
      </w:pPr>
      <w:r>
        <w:rPr>
          <w:rFonts w:ascii="Cambria" w:cs="Cambria" w:eastAsia="Cambria" w:hAnsi="Cambria"/>
          <w:sz w:val="22"/>
          <w:szCs w:val="22"/>
        </w:rPr>
        <w:t xml:space="preserve">Preferred: Intel RAPL (Running Average Power Limit) MSRs for package and DRAM domains. Reported separately.</w:t>
      </w:r>
    </w:p>
    <w:p>
      <w:pPr>
        <w:pStyle w:val="ListParagraph"/>
        <w:numPr>
          <w:ilvl w:val="0"/>
          <w:numId w:val="2"/>
        </w:numPr>
        <w:spacing w:after="80" w:line="280"/>
      </w:pPr>
      <w:r>
        <w:rPr>
          <w:rFonts w:ascii="Cambria" w:cs="Cambria" w:eastAsia="Cambria" w:hAnsi="Cambria"/>
          <w:sz w:val="22"/>
          <w:szCs w:val="22"/>
        </w:rPr>
        <w:t xml:space="preserve">Acceptable: external wall-socket meter at ≥ 10 Hz sampling, with idle-baseline subtraction documented.</w:t>
      </w:r>
    </w:p>
    <w:p>
      <w:pPr>
        <w:pStyle w:val="ListParagraph"/>
        <w:numPr>
          <w:ilvl w:val="0"/>
          <w:numId w:val="2"/>
        </w:numPr>
        <w:spacing w:after="80" w:line="280"/>
      </w:pPr>
      <w:r>
        <w:rPr>
          <w:rFonts w:ascii="Cambria" w:cs="Cambria" w:eastAsia="Cambria" w:hAnsi="Cambria"/>
          <w:sz w:val="22"/>
          <w:szCs w:val="22"/>
        </w:rPr>
        <w:t xml:space="preserve">Not acceptable: software estimation from CPU utilization alone.</w:t>
      </w:r>
    </w:p>
    <w:p>
      <w:pPr>
        <w:pStyle w:val="Heading2"/>
        <w:spacing w:after="140" w:before="280"/>
      </w:pPr>
      <w:r>
        <w:rPr>
          <w:rFonts w:ascii="Cambria" w:cs="Cambria" w:eastAsia="Cambria" w:hAnsi="Cambria"/>
          <w:b/>
          <w:bCs/>
          <w:sz w:val="26"/>
          <w:szCs w:val="26"/>
        </w:rPr>
        <w:t xml:space="preserve">6.3. Idle Baseline</w:t>
      </w:r>
    </w:p>
    <w:p>
      <w:pPr>
        <w:spacing w:after="120" w:line="280"/>
        <w:jc w:val="both"/>
      </w:pPr>
      <w:r>
        <w:rPr>
          <w:rFonts w:ascii="Cambria" w:cs="Cambria" w:eastAsia="Cambria" w:hAnsi="Cambria"/>
          <w:sz w:val="22"/>
          <w:szCs w:val="22"/>
        </w:rPr>
        <w:t xml:space="preserve">Per-task energy MUST be reported net of an idle baseline.</w:t>
      </w:r>
    </w:p>
    <w:p>
      <w:pPr>
        <w:pStyle w:val="ListParagraph"/>
        <w:numPr>
          <w:ilvl w:val="0"/>
          <w:numId w:val="2"/>
        </w:numPr>
        <w:spacing w:after="80" w:line="280"/>
      </w:pPr>
      <w:r>
        <w:rPr>
          <w:rFonts w:ascii="Cambria" w:cs="Cambria" w:eastAsia="Cambria" w:hAnsi="Cambria"/>
          <w:sz w:val="22"/>
          <w:szCs w:val="22"/>
        </w:rPr>
        <w:t xml:space="preserve">Run the system in quiescent state with no Eval-001 workload for 5 minutes.</w:t>
      </w:r>
    </w:p>
    <w:p>
      <w:pPr>
        <w:pStyle w:val="ListParagraph"/>
        <w:numPr>
          <w:ilvl w:val="0"/>
          <w:numId w:val="2"/>
        </w:numPr>
        <w:spacing w:after="80" w:line="280"/>
      </w:pPr>
      <w:r>
        <w:rPr>
          <w:rFonts w:ascii="Cambria" w:cs="Cambria" w:eastAsia="Cambria" w:hAnsi="Cambria"/>
          <w:sz w:val="22"/>
          <w:szCs w:val="22"/>
        </w:rPr>
        <w:t xml:space="preserve">Record mean power over the last 4 minutes; the first minute is discarded as warm-up.</w:t>
      </w:r>
    </w:p>
    <w:p>
      <w:pPr>
        <w:pStyle w:val="ListParagraph"/>
        <w:numPr>
          <w:ilvl w:val="0"/>
          <w:numId w:val="2"/>
        </w:numPr>
        <w:spacing w:after="80" w:line="280"/>
      </w:pPr>
      <w:r>
        <w:rPr>
          <w:rFonts w:ascii="Cambria" w:cs="Cambria" w:eastAsia="Cambria" w:hAnsi="Cambria"/>
          <w:sz w:val="22"/>
          <w:szCs w:val="22"/>
        </w:rPr>
        <w:t xml:space="preserve">During the eval run, total energy = ∫ instantaneous power over the run interval.</w:t>
      </w:r>
    </w:p>
    <w:p>
      <w:pPr>
        <w:pStyle w:val="ListParagraph"/>
        <w:numPr>
          <w:ilvl w:val="0"/>
          <w:numId w:val="2"/>
        </w:numPr>
        <w:spacing w:after="80" w:line="280"/>
      </w:pPr>
      <w:r>
        <w:rPr>
          <w:rFonts w:ascii="Cambria" w:cs="Cambria" w:eastAsia="Cambria" w:hAnsi="Cambria"/>
          <w:sz w:val="22"/>
          <w:szCs w:val="22"/>
        </w:rPr>
        <w:t xml:space="preserve">Per-task energy = (total_energy − idle_power × run_duration) / instance_count.</w:t>
      </w:r>
    </w:p>
    <w:p>
      <w:pPr>
        <w:pStyle w:val="ListParagraph"/>
        <w:numPr>
          <w:ilvl w:val="0"/>
          <w:numId w:val="2"/>
        </w:numPr>
        <w:spacing w:after="80" w:line="280"/>
      </w:pPr>
      <w:r>
        <w:rPr>
          <w:rFonts w:ascii="Cambria" w:cs="Cambria" w:eastAsia="Cambria" w:hAnsi="Cambria"/>
          <w:sz w:val="22"/>
          <w:szCs w:val="22"/>
        </w:rPr>
        <w:t xml:space="preserve">Both gross and idle-subtracted figures MUST be reported.</w:t>
      </w:r>
    </w:p>
    <w:p>
      <w:pPr>
        <w:pStyle w:val="Heading2"/>
        <w:spacing w:after="140" w:before="280"/>
      </w:pPr>
      <w:r>
        <w:rPr>
          <w:rFonts w:ascii="Cambria" w:cs="Cambria" w:eastAsia="Cambria" w:hAnsi="Cambria"/>
          <w:b/>
          <w:bCs/>
          <w:sz w:val="26"/>
          <w:szCs w:val="26"/>
        </w:rPr>
        <w:t xml:space="preserve">6.4. Run Conditions</w:t>
      </w:r>
    </w:p>
    <w:p>
      <w:pPr>
        <w:pStyle w:val="ListParagraph"/>
        <w:numPr>
          <w:ilvl w:val="0"/>
          <w:numId w:val="2"/>
        </w:numPr>
        <w:spacing w:after="80" w:line="280"/>
      </w:pPr>
      <w:r>
        <w:rPr>
          <w:rFonts w:ascii="Cambria" w:cs="Cambria" w:eastAsia="Cambria" w:hAnsi="Cambria"/>
          <w:sz w:val="22"/>
          <w:szCs w:val="22"/>
        </w:rPr>
        <w:t xml:space="preserve">Instances MUST be processed in randomized order, with the random seed published.</w:t>
      </w:r>
    </w:p>
    <w:p>
      <w:pPr>
        <w:pStyle w:val="ListParagraph"/>
        <w:numPr>
          <w:ilvl w:val="0"/>
          <w:numId w:val="2"/>
        </w:numPr>
        <w:spacing w:after="80" w:line="280"/>
      </w:pPr>
      <w:r>
        <w:rPr>
          <w:rFonts w:ascii="Cambria" w:cs="Cambria" w:eastAsia="Cambria" w:hAnsi="Cambria"/>
          <w:sz w:val="22"/>
          <w:szCs w:val="22"/>
        </w:rPr>
        <w:t xml:space="preserve">The system MUST process the entire 1,600-instance test split in a single contiguous run. Mid-run reconfiguration is forbidden.</w:t>
      </w:r>
    </w:p>
    <w:p>
      <w:pPr>
        <w:pStyle w:val="ListParagraph"/>
        <w:numPr>
          <w:ilvl w:val="0"/>
          <w:numId w:val="2"/>
        </w:numPr>
        <w:spacing w:after="80" w:line="280"/>
      </w:pPr>
      <w:r>
        <w:rPr>
          <w:rFonts w:ascii="Cambria" w:cs="Cambria" w:eastAsia="Cambria" w:hAnsi="Cambria"/>
          <w:sz w:val="22"/>
          <w:szCs w:val="22"/>
        </w:rPr>
        <w:t xml:space="preserve">Cache warm-up is permitted on a fixed 200-instance subset drawn from the training split, with the subset hash recorded.</w:t>
      </w:r>
    </w:p>
    <w:p>
      <w:pPr>
        <w:pStyle w:val="ListParagraph"/>
        <w:numPr>
          <w:ilvl w:val="0"/>
          <w:numId w:val="2"/>
        </w:numPr>
        <w:spacing w:after="80" w:line="280"/>
      </w:pPr>
      <w:r>
        <w:rPr>
          <w:rFonts w:ascii="Cambria" w:cs="Cambria" w:eastAsia="Cambria" w:hAnsi="Cambria"/>
          <w:sz w:val="22"/>
          <w:szCs w:val="22"/>
        </w:rPr>
        <w:t xml:space="preserve">Per-instance wall time MUST also be reported.</w:t>
      </w:r>
    </w:p>
    <w:p>
      <w:pPr>
        <w:pStyle w:val="Heading2"/>
        <w:spacing w:after="140" w:before="280"/>
      </w:pPr>
      <w:r>
        <w:rPr>
          <w:rFonts w:ascii="Cambria" w:cs="Cambria" w:eastAsia="Cambria" w:hAnsi="Cambria"/>
          <w:b/>
          <w:bCs/>
          <w:sz w:val="26"/>
          <w:szCs w:val="26"/>
        </w:rPr>
        <w:t xml:space="preserve">6.5. P2 Envelope (Eval-001 specific)</w:t>
      </w:r>
    </w:p>
    <w:p>
      <w:pPr>
        <w:spacing w:after="120" w:line="280"/>
        <w:jc w:val="both"/>
      </w:pPr>
      <w:r>
        <w:rPr>
          <w:rFonts w:ascii="Cambria" w:cs="Cambria" w:eastAsia="Cambria" w:hAnsi="Cambria"/>
          <w:sz w:val="22"/>
          <w:szCs w:val="22"/>
        </w:rPr>
        <w:t xml:space="preserve">For an Eval-001 certificate at proficiency floor P2, the system MUST satisfy on the reference hardware:</w:t>
      </w:r>
    </w:p>
    <w:p>
      <w:pPr>
        <w:pStyle w:val="ListParagraph"/>
        <w:numPr>
          <w:ilvl w:val="0"/>
          <w:numId w:val="2"/>
        </w:numPr>
        <w:spacing w:after="80" w:line="280"/>
      </w:pPr>
      <w:r>
        <w:rPr>
          <w:rFonts w:ascii="Cambria" w:cs="Cambria" w:eastAsia="Cambria" w:hAnsi="Cambria"/>
          <w:sz w:val="22"/>
          <w:szCs w:val="22"/>
        </w:rPr>
        <w:t xml:space="preserve">Mean energy per task: ≤ 5 J (idle-subtracted).</w:t>
      </w:r>
    </w:p>
    <w:p>
      <w:pPr>
        <w:pStyle w:val="ListParagraph"/>
        <w:numPr>
          <w:ilvl w:val="0"/>
          <w:numId w:val="2"/>
        </w:numPr>
        <w:spacing w:after="80" w:line="280"/>
      </w:pPr>
      <w:r>
        <w:rPr>
          <w:rFonts w:ascii="Cambria" w:cs="Cambria" w:eastAsia="Cambria" w:hAnsi="Cambria"/>
          <w:sz w:val="22"/>
          <w:szCs w:val="22"/>
        </w:rPr>
        <w:t xml:space="preserve">99th-percentile energy per task: ≤ 25 J.</w:t>
      </w:r>
    </w:p>
    <w:p>
      <w:pPr>
        <w:pStyle w:val="ListParagraph"/>
        <w:numPr>
          <w:ilvl w:val="0"/>
          <w:numId w:val="2"/>
        </w:numPr>
        <w:spacing w:after="80" w:line="280"/>
      </w:pPr>
      <w:r>
        <w:rPr>
          <w:rFonts w:ascii="Cambria" w:cs="Cambria" w:eastAsia="Cambria" w:hAnsi="Cambria"/>
          <w:sz w:val="22"/>
          <w:szCs w:val="22"/>
        </w:rPr>
        <w:t xml:space="preserve">Mean wall time per task: ≤ 2,000 ms.</w:t>
      </w:r>
    </w:p>
    <w:p>
      <w:pPr>
        <w:pStyle w:val="ListParagraph"/>
        <w:numPr>
          <w:ilvl w:val="0"/>
          <w:numId w:val="2"/>
        </w:numPr>
        <w:spacing w:after="80" w:line="280"/>
      </w:pPr>
      <w:r>
        <w:rPr>
          <w:rFonts w:ascii="Cambria" w:cs="Cambria" w:eastAsia="Cambria" w:hAnsi="Cambria"/>
          <w:sz w:val="22"/>
          <w:szCs w:val="22"/>
        </w:rPr>
        <w:t xml:space="preserve">99th-percentile wall time per task: ≤ 8,000 ms.</w:t>
      </w:r>
    </w:p>
    <w:p>
      <w:pPr>
        <w:spacing w:after="120" w:line="280"/>
        <w:jc w:val="both"/>
      </w:pPr>
      <w:r>
        <w:rPr>
          <w:rFonts w:ascii="Cambria" w:cs="Cambria" w:eastAsia="Cambria" w:hAnsi="Cambria"/>
          <w:sz w:val="22"/>
          <w:szCs w:val="22"/>
        </w:rPr>
        <w:t xml:space="preserve">These envelopes are calibrated to permit a single bounded T4 invocation per instance on eLLM-class CPU inference. A system that invokes T4 multiple times per instance, or that runs unconstrained large-model generation, will not meet the envelope. This is by design.</w:t>
      </w:r>
    </w:p>
    <w:p>
      <w:pPr>
        <w:pStyle w:val="Heading1"/>
        <w:pageBreakBefore/>
        <w:spacing w:after="180" w:before="0"/>
      </w:pPr>
      <w:r>
        <w:rPr>
          <w:rFonts w:ascii="Cambria" w:cs="Cambria" w:eastAsia="Cambria" w:hAnsi="Cambria"/>
          <w:b/>
          <w:bCs/>
          <w:sz w:val="30"/>
          <w:szCs w:val="30"/>
        </w:rPr>
        <w:t xml:space="preserve">7. Tier Attribution</w:t>
      </w:r>
    </w:p>
    <w:p>
      <w:pPr>
        <w:spacing w:after="120" w:line="280"/>
        <w:jc w:val="both"/>
      </w:pPr>
      <w:r>
        <w:rPr>
          <w:rFonts w:ascii="Cambria" w:cs="Cambria" w:eastAsia="Cambria" w:hAnsi="Cambria"/>
          <w:sz w:val="22"/>
          <w:szCs w:val="22"/>
        </w:rPr>
        <w:t xml:space="preserve">Eval-001 is the first eval where the EOC tier model becomes empirically testable specifically at the T2/T4 boundary.</w:t>
      </w:r>
    </w:p>
    <w:p>
      <w:pPr>
        <w:pStyle w:val="Heading2"/>
        <w:spacing w:after="140" w:before="280"/>
      </w:pPr>
      <w:r>
        <w:rPr>
          <w:rFonts w:ascii="Cambria" w:cs="Cambria" w:eastAsia="Cambria" w:hAnsi="Cambria"/>
          <w:b/>
          <w:bCs/>
          <w:sz w:val="26"/>
          <w:szCs w:val="26"/>
        </w:rPr>
        <w:t xml:space="preserve">7.1. Tier Trace per Layer</w:t>
      </w:r>
    </w:p>
    <w:p>
      <w:pPr>
        <w:spacing w:after="120" w:line="280"/>
        <w:jc w:val="both"/>
      </w:pPr>
      <w:r>
        <w:rPr>
          <w:rFonts w:ascii="Cambria" w:cs="Cambria" w:eastAsia="Cambria" w:hAnsi="Cambria"/>
          <w:sz w:val="22"/>
          <w:szCs w:val="22"/>
        </w:rPr>
        <w:t xml:space="preserve">Implementations MUST log a tier trace per scoring layer:</w:t>
      </w:r>
    </w:p>
    <w:p>
      <w:pPr>
        <w:pStyle w:val="ListParagraph"/>
        <w:numPr>
          <w:ilvl w:val="0"/>
          <w:numId w:val="2"/>
        </w:numPr>
        <w:spacing w:after="80" w:line="280"/>
      </w:pPr>
      <w:r>
        <w:rPr>
          <w:rFonts w:ascii="Cambria" w:cs="Cambria" w:eastAsia="Cambria" w:hAnsi="Cambria"/>
          <w:sz w:val="22"/>
          <w:szCs w:val="22"/>
        </w:rPr>
        <w:t xml:space="preserve">Layer 1 (Structural): expected to resolve at T2 via schema-validating state machines.</w:t>
      </w:r>
    </w:p>
    <w:p>
      <w:pPr>
        <w:pStyle w:val="ListParagraph"/>
        <w:numPr>
          <w:ilvl w:val="0"/>
          <w:numId w:val="2"/>
        </w:numPr>
        <w:spacing w:after="80" w:line="280"/>
      </w:pPr>
      <w:r>
        <w:rPr>
          <w:rFonts w:ascii="Cambria" w:cs="Cambria" w:eastAsia="Cambria" w:hAnsi="Cambria"/>
          <w:sz w:val="22"/>
          <w:szCs w:val="22"/>
        </w:rPr>
        <w:t xml:space="preserve">Layer 2 (Constraint): expected to resolve at T2 via constraint-evaluating systems and constrained generation.</w:t>
      </w:r>
    </w:p>
    <w:p>
      <w:pPr>
        <w:pStyle w:val="ListParagraph"/>
        <w:numPr>
          <w:ilvl w:val="0"/>
          <w:numId w:val="2"/>
        </w:numPr>
        <w:spacing w:after="80" w:line="280"/>
      </w:pPr>
      <w:r>
        <w:rPr>
          <w:rFonts w:ascii="Cambria" w:cs="Cambria" w:eastAsia="Cambria" w:hAnsi="Cambria"/>
          <w:sz w:val="22"/>
          <w:szCs w:val="22"/>
        </w:rPr>
        <w:t xml:space="preserve">Layer 3 (Synthesis): expected to invoke T4 once per instance with structured constraints.</w:t>
      </w:r>
    </w:p>
    <w:p>
      <w:pPr>
        <w:spacing w:after="120" w:line="280"/>
        <w:jc w:val="both"/>
      </w:pPr>
      <w:r>
        <w:rPr>
          <w:rFonts w:ascii="Cambria" w:cs="Cambria" w:eastAsia="Cambria" w:hAnsi="Cambria"/>
          <w:sz w:val="22"/>
          <w:szCs w:val="22"/>
        </w:rPr>
        <w:t xml:space="preserve">The tier trace MUST identify which tier produced each layer's contribution to the final output. A single field MAY have contributions from multiple tiers (e.g., T4 generation followed by T2 normalization).</w:t>
      </w:r>
    </w:p>
    <w:p>
      <w:pPr>
        <w:pStyle w:val="Heading2"/>
        <w:spacing w:after="140" w:before="280"/>
      </w:pPr>
      <w:r>
        <w:rPr>
          <w:rFonts w:ascii="Cambria" w:cs="Cambria" w:eastAsia="Cambria" w:hAnsi="Cambria"/>
          <w:b/>
          <w:bCs/>
          <w:sz w:val="26"/>
          <w:szCs w:val="26"/>
        </w:rPr>
        <w:t xml:space="preserve">7.2. Required Reporting</w:t>
      </w:r>
    </w:p>
    <w:p>
      <w:pPr>
        <w:shd w:fill="F4F4F4" w:val="clear"/>
        <w:spacing w:after="140" w:before="100" w:line="260"/>
        <w:jc w:val="left"/>
      </w:pPr>
      <w:r>
        <w:rPr>
          <w:rFonts w:ascii="Consolas" w:cs="Consolas" w:eastAsia="Consolas" w:hAnsi="Consolas"/>
          <w:sz w:val="18"/>
          <w:szCs w:val="18"/>
        </w:rPr>
        <w:t xml:space="preserve">tier_distribution_by_layer: {
  layer_1_structural: { T2: &lt;float&gt;, T4: &lt;float&gt; },
  layer_2_constraint: { T2: &lt;float&gt;, T4: &lt;float&gt; },
  layer_3_synthesis:  { T2: &lt;float&gt;, T3: &lt;float&gt;, T4: &lt;float&gt; }
}
tier_4_invocations_per_instance: {
  mean: &lt;float&gt;,
  p50:  &lt;float&gt;,
  p99:  &lt;float&gt;
}</w:t>
      </w:r>
    </w:p>
    <w:p>
      <w:pPr>
        <w:pStyle w:val="Heading2"/>
        <w:spacing w:after="140" w:before="280"/>
      </w:pPr>
      <w:r>
        <w:rPr>
          <w:rFonts w:ascii="Cambria" w:cs="Cambria" w:eastAsia="Cambria" w:hAnsi="Cambria"/>
          <w:b/>
          <w:bCs/>
          <w:sz w:val="26"/>
          <w:szCs w:val="26"/>
        </w:rPr>
        <w:t xml:space="preserve">7.3. T4 Invocation Bound</w:t>
      </w:r>
    </w:p>
    <w:p>
      <w:pPr>
        <w:spacing w:after="120" w:line="280"/>
        <w:jc w:val="both"/>
      </w:pPr>
      <w:r>
        <w:rPr>
          <w:rFonts w:ascii="Cambria" w:cs="Cambria" w:eastAsia="Cambria" w:hAnsi="Cambria"/>
          <w:sz w:val="22"/>
          <w:szCs w:val="22"/>
        </w:rPr>
        <w:t xml:space="preserve">To pass Eval-001 within the energy envelope, mean T4 invocations per instance SHOULD be ≤ 1.2 on eLLM-class inference. Higher invocation counts are permitted but the energy envelope will not accommodate them. This is a soft architectural signal expressed through a hard physical floor.</w:t>
      </w:r>
    </w:p>
    <w:p>
      <w:pPr>
        <w:pStyle w:val="Heading2"/>
        <w:spacing w:after="140" w:before="280"/>
      </w:pPr>
      <w:r>
        <w:rPr>
          <w:rFonts w:ascii="Cambria" w:cs="Cambria" w:eastAsia="Cambria" w:hAnsi="Cambria"/>
          <w:b/>
          <w:bCs/>
          <w:sz w:val="26"/>
          <w:szCs w:val="26"/>
        </w:rPr>
        <w:t xml:space="preserve">7.4. Constrained Decoding as the Critical Path</w:t>
      </w:r>
    </w:p>
    <w:p>
      <w:pPr>
        <w:spacing w:after="120" w:line="280"/>
        <w:jc w:val="both"/>
      </w:pPr>
      <w:r>
        <w:rPr>
          <w:rFonts w:ascii="Cambria" w:cs="Cambria" w:eastAsia="Cambria" w:hAnsi="Cambria"/>
          <w:sz w:val="22"/>
          <w:szCs w:val="22"/>
        </w:rPr>
        <w:t xml:space="preserve">The substrate's central design assertion at this task class is that T4 invocations MUST be constrained-decode invocations: T4 generates within a grammar or schema enforced by T2, not free generation followed by T2 validation-and-retry. Free generation with retry violates the energy envelope by design. Implementations SHOULD document their constrained-decoding mechanism in the capability descriptor (EOC-1 §10.2).</w:t>
      </w:r>
    </w:p>
    <w:p>
      <w:pPr>
        <w:pStyle w:val="Heading2"/>
        <w:spacing w:after="140" w:before="280"/>
      </w:pPr>
      <w:r>
        <w:rPr>
          <w:rFonts w:ascii="Cambria" w:cs="Cambria" w:eastAsia="Cambria" w:hAnsi="Cambria"/>
          <w:b/>
          <w:bCs/>
          <w:sz w:val="26"/>
          <w:szCs w:val="26"/>
        </w:rPr>
        <w:t xml:space="preserve">7.5. Lift Demonstrability</w:t>
      </w:r>
    </w:p>
    <w:p>
      <w:pPr>
        <w:spacing w:after="120" w:line="280"/>
        <w:jc w:val="both"/>
      </w:pPr>
      <w:r>
        <w:rPr>
          <w:rFonts w:ascii="Cambria" w:cs="Cambria" w:eastAsia="Cambria" w:hAnsi="Cambria"/>
          <w:sz w:val="22"/>
          <w:szCs w:val="22"/>
        </w:rPr>
        <w:t xml:space="preserve">To demonstrate the lift learning loop (EOC-1 §6.4), implementations MAY publish two certificates from the same physical system: one issued at deployment time, one issued after lifted T2 patterns reduce T4 invocation. Reduction in mean T4 invocations between the two certificates is the empirical demonstration of the learning claim. For schema-conformant generation, the most common lift target is reusable response templates: synthesis patterns observed in T4 traces become T2 templates with T4 reserved for the genuinely novel slot fills.</w:t>
      </w:r>
    </w:p>
    <w:p>
      <w:pPr>
        <w:pStyle w:val="Heading1"/>
        <w:pageBreakBefore/>
        <w:spacing w:after="180" w:before="0"/>
      </w:pPr>
      <w:r>
        <w:rPr>
          <w:rFonts w:ascii="Cambria" w:cs="Cambria" w:eastAsia="Cambria" w:hAnsi="Cambria"/>
          <w:b/>
          <w:bCs/>
          <w:sz w:val="30"/>
          <w:szCs w:val="30"/>
        </w:rPr>
        <w:t xml:space="preserve">8. Certificate Format</w:t>
      </w:r>
    </w:p>
    <w:p>
      <w:pPr>
        <w:shd w:fill="F4F4F4" w:val="clear"/>
        <w:spacing w:after="140" w:before="100" w:line="260"/>
        <w:jc w:val="left"/>
      </w:pPr>
      <w:r>
        <w:rPr>
          <w:rFonts w:ascii="Consolas" w:cs="Consolas" w:eastAsia="Consolas" w:hAnsi="Consolas"/>
          <w:sz w:val="18"/>
          <w:szCs w:val="18"/>
        </w:rPr>
        <w:t xml:space="preserve">Certificate {
  // EOC-1 §9.5 base fields:
  proficiency_tier:  "P2",
  task_class:        "eoc-1.eval-001.schema-conformant-generation",
  reliability:       0.0..1.0,
  energy_per_task:   &lt;joules, idle-subtracted&gt;,
  reference_hw:      HardwareSpec,
  corpus_version:    ContentHash,
  artifact_hash:     ContentHash,
  attester_pubkey:   PublicKey,
  signature:         Signature,
  timestamp:         RFC3339,
  // Eval-001 specific:
  scorer_version:        ContentHash,
  per_layer: {
    layer_1_structural:  { reliability: &lt;float&gt; },
    layer_2_constraint:  { reliability: &lt;float&gt; },
    layer_3_synthesis:   { reliability: &lt;float&gt; }
  },
  per_sub_class: {
    calendar_event:           { reliability, energy, count },
    issue_ticket:             { reliability, energy, count },
    address_book:             { reliability, energy, count },
    reservation:              { reliability, energy, count },
    polite_decline:           { reliability, energy, count },
    confirmation:             { reliability, energy, count },
    status_update:            { reliability, energy, count },
    inquiry_reply:            { reliability, energy, count },
    meeting_agenda:           { reliability, energy, count },
    pull_request:             { reliability, energy, count },
    change_request:           { reliability, energy, count },
    test_plan:                { reliability, energy, count }
  },
  adversarial: {
    correctly_rejected:       &lt;int&gt;,
    incorrectly_generated:    &lt;int&gt;,
    rejection_rate:           &lt;float&gt;
  },
  energy_detail: {
    mean_joules, p50_joules, p95_joules, p99_joules,
    mean_wall_ms, p99_wall_ms,
    rapl_package_joules, rapl_dram_joules,
    idle_baseline_watts
  },
  tier_distribution_by_layer: {
    layer_1: { T2, T4 },
    layer_2: { T2, T4 },
    layer_3: { T2, T3, T4 }
  },
  t4_invocations_per_instance: { mean, p50, p99 },
  constrained_decoding_mechanism: &lt;descriptor URI&gt;,
  warmup_subset_hash:  ContentHash,
  randomization_seed:  Integer
}</w:t>
      </w:r>
    </w:p>
    <w:p>
      <w:pPr>
        <w:pStyle w:val="Heading1"/>
        <w:pageBreakBefore/>
        <w:spacing w:after="180" w:before="0"/>
      </w:pPr>
      <w:r>
        <w:rPr>
          <w:rFonts w:ascii="Cambria" w:cs="Cambria" w:eastAsia="Cambria" w:hAnsi="Cambria"/>
          <w:b/>
          <w:bCs/>
          <w:sz w:val="30"/>
          <w:szCs w:val="30"/>
        </w:rPr>
        <w:t xml:space="preserve">9. Anti-Gaming Provisions</w:t>
      </w:r>
    </w:p>
    <w:p>
      <w:pPr>
        <w:pStyle w:val="Heading2"/>
        <w:spacing w:after="140" w:before="280"/>
      </w:pPr>
      <w:r>
        <w:rPr>
          <w:rFonts w:ascii="Cambria" w:cs="Cambria" w:eastAsia="Cambria" w:hAnsi="Cambria"/>
          <w:b/>
          <w:bCs/>
          <w:sz w:val="26"/>
          <w:szCs w:val="26"/>
        </w:rPr>
        <w:t xml:space="preserve">9.1. Corpus Memorization</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the system memorizes reference outputs from the public corpus.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test split is held out and rotates quarterly (§3.5). Reference outputs in §4.3.2 are illustrative only; scoring against them measures rubric-bounded similarity, not exact match — so memorizing one reference and emitting it verbatim does not produce a score above what a freshly-synthesized matching output would.</w:t>
      </w:r>
    </w:p>
    <w:p>
      <w:pPr>
        <w:pStyle w:val="Heading2"/>
        <w:spacing w:after="140" w:before="280"/>
      </w:pPr>
      <w:r>
        <w:rPr>
          <w:rFonts w:ascii="Cambria" w:cs="Cambria" w:eastAsia="Cambria" w:hAnsi="Cambria"/>
          <w:b/>
          <w:bCs/>
          <w:sz w:val="26"/>
          <w:szCs w:val="26"/>
        </w:rPr>
        <w:t xml:space="preserve">9.2. LLM-as-Judge Evasion</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outputs game an LLM judge with prompt-injection patterns or stylistic exploits.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no LLM judge exists in the scoring path (§4.3.3). The rubric is built from deterministic constraint evaluation and content-addressed NLP utilities. Style exploits cannot influence Layer 1 or Layer 2 outcomes.</w:t>
      </w:r>
    </w:p>
    <w:p>
      <w:pPr>
        <w:pStyle w:val="Heading2"/>
        <w:spacing w:after="140" w:before="280"/>
      </w:pPr>
      <w:r>
        <w:rPr>
          <w:rFonts w:ascii="Cambria" w:cs="Cambria" w:eastAsia="Cambria" w:hAnsi="Cambria"/>
          <w:b/>
          <w:bCs/>
          <w:sz w:val="26"/>
          <w:szCs w:val="26"/>
        </w:rPr>
        <w:t xml:space="preserve">9.3. Free Generation with Retry</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the system runs unconstrained T4 generation, validates, and retries on failure — producing high reliability at unbounded energy.</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the energy envelope (§6.5) and per-instance T4 invocation reporting (§7.2) make retry-heavy approaches visibly noncompliant. Mean T4 invocations above ~1.2 will not fit the envelope.</w:t>
      </w:r>
    </w:p>
    <w:p>
      <w:pPr>
        <w:pStyle w:val="Heading2"/>
        <w:spacing w:after="140" w:before="280"/>
      </w:pPr>
      <w:r>
        <w:rPr>
          <w:rFonts w:ascii="Cambria" w:cs="Cambria" w:eastAsia="Cambria" w:hAnsi="Cambria"/>
          <w:b/>
          <w:bCs/>
          <w:sz w:val="26"/>
          <w:szCs w:val="26"/>
        </w:rPr>
        <w:t xml:space="preserve">9.4. Schema Validation Bypass</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the system emits outputs that pass loose validation but fail strict structural checks.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the reference scorer ships with a strict, content-addressed validator. additionalProperties is always false. Type coercion is forbidden in scoring.</w:t>
      </w:r>
    </w:p>
    <w:p>
      <w:pPr>
        <w:pStyle w:val="Heading2"/>
        <w:spacing w:after="140" w:before="280"/>
      </w:pPr>
      <w:r>
        <w:rPr>
          <w:rFonts w:ascii="Cambria" w:cs="Cambria" w:eastAsia="Cambria" w:hAnsi="Cambria"/>
          <w:b/>
          <w:bCs/>
          <w:sz w:val="26"/>
          <w:szCs w:val="26"/>
        </w:rPr>
        <w:t xml:space="preserve">9.5. Constraint-Specification Gaming</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an attester submits a corpus fork with relaxed constraints to inflate scores.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certificates cite the corpus content hash (§8). Forks MUST NOT use the unqualified Eval-001 identifier (§10.2). Only certificates against the canonical maintainer-published corpus are comparable.</w:t>
      </w:r>
    </w:p>
    <w:p>
      <w:pPr>
        <w:pStyle w:val="Heading2"/>
        <w:spacing w:after="140" w:before="280"/>
      </w:pPr>
      <w:r>
        <w:rPr>
          <w:rFonts w:ascii="Cambria" w:cs="Cambria" w:eastAsia="Cambria" w:hAnsi="Cambria"/>
          <w:b/>
          <w:bCs/>
          <w:sz w:val="26"/>
          <w:szCs w:val="26"/>
        </w:rPr>
        <w:t xml:space="preserve">9.6. Adversarial-Instance Avoidance</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the system detects adversarial instances and refuses to engage, padding aggregate reliability.</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adversarial pass rate is reported separately (§4.6 and §8). Selective rejection of normal instances is itself a fail (§4.6). Adversarial instances are NOT identifiable from intent shape alone, so a system cannot reliably distinguish them in advance without doing the actual constraint check.</w:t>
      </w:r>
    </w:p>
    <w:p>
      <w:pPr>
        <w:pStyle w:val="Heading2"/>
        <w:spacing w:after="140" w:before="280"/>
      </w:pPr>
      <w:r>
        <w:rPr>
          <w:rFonts w:ascii="Cambria" w:cs="Cambria" w:eastAsia="Cambria" w:hAnsi="Cambria"/>
          <w:b/>
          <w:bCs/>
          <w:sz w:val="26"/>
          <w:szCs w:val="26"/>
        </w:rPr>
        <w:t xml:space="preserve">9.7. Attester Capture</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a single attester issues fraudulent certificates.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all certificates are independently re-runnable. Trust is local-reputation trust in the attester (EOC-1 §10.4). No global registry to capture.</w:t>
      </w:r>
    </w:p>
    <w:p>
      <w:pPr>
        <w:pStyle w:val="Heading1"/>
        <w:pageBreakBefore/>
        <w:spacing w:after="180" w:before="0"/>
      </w:pPr>
      <w:r>
        <w:rPr>
          <w:rFonts w:ascii="Cambria" w:cs="Cambria" w:eastAsia="Cambria" w:hAnsi="Cambria"/>
          <w:b/>
          <w:bCs/>
          <w:sz w:val="30"/>
          <w:szCs w:val="30"/>
        </w:rPr>
        <w:t xml:space="preserve">10. Corpus Governance</w:t>
      </w:r>
    </w:p>
    <w:p>
      <w:pPr>
        <w:pStyle w:val="Heading2"/>
        <w:spacing w:after="140" w:before="280"/>
      </w:pPr>
      <w:r>
        <w:rPr>
          <w:rFonts w:ascii="Cambria" w:cs="Cambria" w:eastAsia="Cambria" w:hAnsi="Cambria"/>
          <w:b/>
          <w:bCs/>
          <w:sz w:val="26"/>
          <w:szCs w:val="26"/>
        </w:rPr>
        <w:t xml:space="preserve">10.1. Maintainer Process</w:t>
      </w:r>
    </w:p>
    <w:p>
      <w:pPr>
        <w:spacing w:after="120" w:line="280"/>
        <w:jc w:val="both"/>
      </w:pPr>
      <w:r>
        <w:rPr>
          <w:rFonts w:ascii="Cambria" w:cs="Cambria" w:eastAsia="Cambria" w:hAnsi="Cambria"/>
          <w:sz w:val="22"/>
          <w:szCs w:val="22"/>
        </w:rPr>
        <w:t xml:space="preserve">Eval-001 corpus governance MUST be multi-stakeholder. The maintainer set MUST satisfy:</w:t>
      </w:r>
    </w:p>
    <w:p>
      <w:pPr>
        <w:pStyle w:val="ListParagraph"/>
        <w:numPr>
          <w:ilvl w:val="0"/>
          <w:numId w:val="2"/>
        </w:numPr>
        <w:spacing w:after="80" w:line="280"/>
      </w:pPr>
      <w:r>
        <w:rPr>
          <w:rFonts w:ascii="Cambria" w:cs="Cambria" w:eastAsia="Cambria" w:hAnsi="Cambria"/>
          <w:sz w:val="22"/>
          <w:szCs w:val="22"/>
        </w:rPr>
        <w:t xml:space="preserve">At least three independent organizations with no common ownership.</w:t>
      </w:r>
    </w:p>
    <w:p>
      <w:pPr>
        <w:pStyle w:val="ListParagraph"/>
        <w:numPr>
          <w:ilvl w:val="0"/>
          <w:numId w:val="2"/>
        </w:numPr>
        <w:spacing w:after="80" w:line="280"/>
      </w:pPr>
      <w:r>
        <w:rPr>
          <w:rFonts w:ascii="Cambria" w:cs="Cambria" w:eastAsia="Cambria" w:hAnsi="Cambria"/>
          <w:sz w:val="22"/>
          <w:szCs w:val="22"/>
        </w:rPr>
        <w:t xml:space="preserve">No more than one third of maintainer organizations may be vendors of EOC implementations.</w:t>
      </w:r>
    </w:p>
    <w:p>
      <w:pPr>
        <w:pStyle w:val="ListParagraph"/>
        <w:numPr>
          <w:ilvl w:val="0"/>
          <w:numId w:val="2"/>
        </w:numPr>
        <w:spacing w:after="80" w:line="280"/>
      </w:pPr>
      <w:r>
        <w:rPr>
          <w:rFonts w:ascii="Cambria" w:cs="Cambria" w:eastAsia="Cambria" w:hAnsi="Cambria"/>
          <w:sz w:val="22"/>
          <w:szCs w:val="22"/>
        </w:rPr>
        <w:t xml:space="preserve">Maintainer composition published; changes require disclosure and a revision number bump.</w:t>
      </w:r>
    </w:p>
    <w:p>
      <w:pPr>
        <w:pStyle w:val="ListParagraph"/>
        <w:numPr>
          <w:ilvl w:val="0"/>
          <w:numId w:val="2"/>
        </w:numPr>
        <w:spacing w:after="80" w:line="280"/>
      </w:pPr>
      <w:r>
        <w:rPr>
          <w:rFonts w:ascii="Cambria" w:cs="Cambria" w:eastAsia="Cambria" w:hAnsi="Cambria"/>
          <w:sz w:val="22"/>
          <w:szCs w:val="22"/>
        </w:rPr>
        <w:t xml:space="preserve">All proposed corpus changes go through a public review window of at least 30 days before activation.</w:t>
      </w:r>
    </w:p>
    <w:p>
      <w:pPr>
        <w:pStyle w:val="ListParagraph"/>
        <w:numPr>
          <w:ilvl w:val="0"/>
          <w:numId w:val="2"/>
        </w:numPr>
        <w:spacing w:after="80" w:line="280"/>
      </w:pPr>
      <w:r>
        <w:rPr>
          <w:rFonts w:ascii="Cambria" w:cs="Cambria" w:eastAsia="Cambria" w:hAnsi="Cambria"/>
          <w:sz w:val="22"/>
          <w:szCs w:val="22"/>
        </w:rPr>
        <w:t xml:space="preserve">Constraint-language additions (§4.2) require unanimous maintainer agreement; expressiveness creep is the most likely capture vector.</w:t>
      </w:r>
    </w:p>
    <w:p>
      <w:pPr>
        <w:pStyle w:val="Heading2"/>
        <w:spacing w:after="140" w:before="280"/>
      </w:pPr>
      <w:r>
        <w:rPr>
          <w:rFonts w:ascii="Cambria" w:cs="Cambria" w:eastAsia="Cambria" w:hAnsi="Cambria"/>
          <w:b/>
          <w:bCs/>
          <w:sz w:val="26"/>
          <w:szCs w:val="26"/>
        </w:rPr>
        <w:t xml:space="preserve">10.2. Forking is Permitted</w:t>
      </w:r>
    </w:p>
    <w:p>
      <w:pPr>
        <w:spacing w:after="120" w:line="280"/>
        <w:jc w:val="both"/>
      </w:pPr>
      <w:r>
        <w:rPr>
          <w:rFonts w:ascii="Cambria" w:cs="Cambria" w:eastAsia="Cambria" w:hAnsi="Cambria"/>
          <w:sz w:val="22"/>
          <w:szCs w:val="22"/>
        </w:rPr>
        <w:t xml:space="preserve">The corpus license permits forking. Competing corpora are a feature. A fork that produces a more representative or less captureable corpus is legitimate evolution. Certificates issued against forked corpora MUST cite the fork's content hash and MUST NOT use the unqualified "Eval-001" identifier.</w:t>
      </w:r>
    </w:p>
    <w:p>
      <w:pPr>
        <w:pStyle w:val="Heading2"/>
        <w:spacing w:after="140" w:before="280"/>
      </w:pPr>
      <w:r>
        <w:rPr>
          <w:rFonts w:ascii="Cambria" w:cs="Cambria" w:eastAsia="Cambria" w:hAnsi="Cambria"/>
          <w:b/>
          <w:bCs/>
          <w:sz w:val="26"/>
          <w:szCs w:val="26"/>
        </w:rPr>
        <w:t xml:space="preserve">10.3. Anti-Goalpost Clause</w:t>
      </w:r>
    </w:p>
    <w:p>
      <w:pPr>
        <w:spacing w:after="120" w:line="280"/>
        <w:jc w:val="both"/>
      </w:pPr>
      <w:r>
        <w:rPr>
          <w:rFonts w:ascii="Cambria" w:cs="Cambria" w:eastAsia="Cambria" w:hAnsi="Cambria"/>
          <w:sz w:val="22"/>
          <w:szCs w:val="22"/>
        </w:rPr>
        <w:t xml:space="preserve">Revisions to Eval-001 MUST NOT raise the reliability floor above 95% for P2. Revisions SHOULD instead extend coverage (more sub-classes), tighten energy envelopes, improve corpus diversity, or strengthen anti-gaming provisions. Any revision that raises the reliability floor without a corresponding extension MUST be rejected by the maintainer process.</w:t>
      </w:r>
    </w:p>
    <w:p>
      <w:pPr>
        <w:pStyle w:val="Heading1"/>
        <w:pageBreakBefore/>
        <w:spacing w:after="180" w:before="0"/>
      </w:pPr>
      <w:r>
        <w:rPr>
          <w:rFonts w:ascii="Cambria" w:cs="Cambria" w:eastAsia="Cambria" w:hAnsi="Cambria"/>
          <w:b/>
          <w:bCs/>
          <w:sz w:val="30"/>
          <w:szCs w:val="30"/>
        </w:rPr>
        <w:t xml:space="preserve">11. Open Issues</w:t>
      </w:r>
    </w:p>
    <w:p>
      <w:pPr>
        <w:pStyle w:val="ListParagraph"/>
        <w:numPr>
          <w:ilvl w:val="0"/>
          <w:numId w:val="2"/>
        </w:numPr>
        <w:spacing w:after="80" w:line="280"/>
      </w:pPr>
      <w:r>
        <w:rPr>
          <w:rFonts w:ascii="Cambria" w:cs="Cambria" w:eastAsia="Cambria" w:hAnsi="Cambria"/>
          <w:sz w:val="22"/>
          <w:szCs w:val="22"/>
        </w:rPr>
        <w:t xml:space="preserve">Constraint-language expressiveness vs. capturability. A more expressive constraint language reduces Layer 3 surface area (good) but enlarges the surface where corpus authors can encode preferences (bad). The current language is intentionally minimal; expansion requires §10.1 unanimous agreement.</w:t>
      </w:r>
    </w:p>
    <w:p>
      <w:pPr>
        <w:pStyle w:val="ListParagraph"/>
        <w:numPr>
          <w:ilvl w:val="0"/>
          <w:numId w:val="2"/>
        </w:numPr>
        <w:spacing w:after="80" w:line="280"/>
      </w:pPr>
      <w:r>
        <w:rPr>
          <w:rFonts w:ascii="Cambria" w:cs="Cambria" w:eastAsia="Cambria" w:hAnsi="Cambria"/>
          <w:sz w:val="22"/>
          <w:szCs w:val="22"/>
        </w:rPr>
        <w:t xml:space="preserve">Reference-output diversity. 3–5 references may be too few for sub-classes with high legitimate variance (creative-leaning message synthesis). Versioning MAY add references without invalidating prior certificates.</w:t>
      </w:r>
    </w:p>
    <w:p>
      <w:pPr>
        <w:pStyle w:val="ListParagraph"/>
        <w:numPr>
          <w:ilvl w:val="0"/>
          <w:numId w:val="2"/>
        </w:numPr>
        <w:spacing w:after="80" w:line="280"/>
      </w:pPr>
      <w:r>
        <w:rPr>
          <w:rFonts w:ascii="Cambria" w:cs="Cambria" w:eastAsia="Cambria" w:hAnsi="Cambria"/>
          <w:sz w:val="22"/>
          <w:szCs w:val="22"/>
        </w:rPr>
        <w:t xml:space="preserve">Constrained decoding interoperability. Implementations vary in their constrained-decoding mechanisms (token masking, FSM-guided decoding, grammar-constrained sampling). Eval-001 does not mandate a mechanism, but lack of standardization means cross-implementation comparison includes mechanism quality as a confound.</w:t>
      </w:r>
    </w:p>
    <w:p>
      <w:pPr>
        <w:pStyle w:val="ListParagraph"/>
        <w:numPr>
          <w:ilvl w:val="0"/>
          <w:numId w:val="2"/>
        </w:numPr>
        <w:spacing w:after="80" w:line="280"/>
      </w:pPr>
      <w:r>
        <w:rPr>
          <w:rFonts w:ascii="Cambria" w:cs="Cambria" w:eastAsia="Cambria" w:hAnsi="Cambria"/>
          <w:sz w:val="22"/>
          <w:szCs w:val="22"/>
        </w:rPr>
        <w:t xml:space="preserve">Multi-language coverage. v0.1 corpus is English-dominant. Locale-balanced future versions are anticipated; the constraint language is locale-agnostic but the reference NLP utilities are not.</w:t>
      </w:r>
    </w:p>
    <w:p>
      <w:pPr>
        <w:pStyle w:val="ListParagraph"/>
        <w:numPr>
          <w:ilvl w:val="0"/>
          <w:numId w:val="2"/>
        </w:numPr>
        <w:spacing w:after="80" w:line="280"/>
      </w:pPr>
      <w:r>
        <w:rPr>
          <w:rFonts w:ascii="Cambria" w:cs="Cambria" w:eastAsia="Cambria" w:hAnsi="Cambria"/>
          <w:sz w:val="22"/>
          <w:szCs w:val="22"/>
        </w:rPr>
        <w:t xml:space="preserve">Numerical calibration of P2 envelopes. The 5 J / 2,000 ms targets in §6.5 are starting estimates calibrated to single-T4-invocation eLLM-class CPU inference. Empirical validation against a reference implementation is the next step.</w:t>
      </w:r>
    </w:p>
    <w:p>
      <w:pPr>
        <w:pStyle w:val="ListParagraph"/>
        <w:numPr>
          <w:ilvl w:val="0"/>
          <w:numId w:val="2"/>
        </w:numPr>
        <w:spacing w:after="80" w:line="280"/>
      </w:pPr>
      <w:r>
        <w:rPr>
          <w:rFonts w:ascii="Cambria" w:cs="Cambria" w:eastAsia="Cambria" w:hAnsi="Cambria"/>
          <w:sz w:val="22"/>
          <w:szCs w:val="22"/>
        </w:rPr>
        <w:t xml:space="preserve">Layer 3 register classifier. The register classifier in §4.3.2 is itself a model. Its content-addressing pins behavior, but bias in the classifier is a real concern. Multiple parallel classifiers with majority vote is a possible v0.2 strengthening.</w:t>
      </w:r>
    </w:p>
    <w:p>
      <w:pPr>
        <w:pStyle w:val="Heading1"/>
        <w:pageBreakBefore/>
        <w:spacing w:after="180" w:before="0"/>
      </w:pPr>
      <w:r>
        <w:rPr>
          <w:rFonts w:ascii="Cambria" w:cs="Cambria" w:eastAsia="Cambria" w:hAnsi="Cambria"/>
          <w:b/>
          <w:bCs/>
          <w:sz w:val="30"/>
          <w:szCs w:val="30"/>
        </w:rPr>
        <w:t xml:space="preserve">12. References</w:t>
      </w:r>
    </w:p>
    <w:p>
      <w:pPr>
        <w:spacing w:after="120" w:line="280"/>
        <w:jc w:val="both"/>
      </w:pPr>
      <w:r>
        <w:rPr>
          <w:rFonts w:ascii="Cambria" w:cs="Cambria" w:eastAsia="Cambria" w:hAnsi="Cambria"/>
          <w:sz w:val="22"/>
          <w:szCs w:val="22"/>
        </w:rPr>
        <w:t xml:space="preserve">[EOC-1] EOC-1 Working Draft 0.1, Energy-Optimized Compute. (Companion document.)</w:t>
      </w:r>
    </w:p>
    <w:p>
      <w:pPr>
        <w:spacing w:after="120" w:line="280"/>
        <w:jc w:val="both"/>
      </w:pPr>
      <w:r>
        <w:rPr>
          <w:rFonts w:ascii="Cambria" w:cs="Cambria" w:eastAsia="Cambria" w:hAnsi="Cambria"/>
          <w:sz w:val="22"/>
          <w:szCs w:val="22"/>
        </w:rPr>
        <w:t xml:space="preserve">[RFC2119] Bradner, S., "Key words for use in RFCs to Indicate Requirement Levels", BCP 14, RFC 2119, March 1997.</w:t>
      </w:r>
    </w:p>
    <w:p>
      <w:pPr>
        <w:spacing w:after="120" w:line="280"/>
        <w:jc w:val="both"/>
      </w:pPr>
      <w:r>
        <w:rPr>
          <w:rFonts w:ascii="Cambria" w:cs="Cambria" w:eastAsia="Cambria" w:hAnsi="Cambria"/>
          <w:sz w:val="22"/>
          <w:szCs w:val="22"/>
        </w:rPr>
        <w:t xml:space="preserve">[RFC8259] Bray, T., "The JavaScript Object Notation (JSON) Data Interchange Format", RFC 8259, December 2017.</w:t>
      </w:r>
    </w:p>
    <w:p>
      <w:pPr>
        <w:spacing w:after="120" w:line="280"/>
        <w:jc w:val="both"/>
      </w:pPr>
      <w:r>
        <w:rPr>
          <w:rFonts w:ascii="Cambria" w:cs="Cambria" w:eastAsia="Cambria" w:hAnsi="Cambria"/>
          <w:sz w:val="22"/>
          <w:szCs w:val="22"/>
        </w:rPr>
        <w:t xml:space="preserve">[JSONSchema] Wright, A., et al., "JSON Schema: A Media Type for Describing JSON Documents", IETF Draft.</w:t>
      </w:r>
    </w:p>
    <w:p>
      <w:pPr>
        <w:spacing w:after="120" w:line="280"/>
        <w:jc w:val="both"/>
      </w:pPr>
      <w:r>
        <w:rPr>
          <w:rFonts w:ascii="Cambria" w:cs="Cambria" w:eastAsia="Cambria" w:hAnsi="Cambria"/>
          <w:sz w:val="22"/>
          <w:szCs w:val="22"/>
        </w:rPr>
        <w:t xml:space="preserve">[RFC5545] Desruisseaux, B., "Internet Calendaring and Scheduling Core Object Specification (iCalendar)", RFC 5545, September 2009.</w:t>
      </w:r>
    </w:p>
    <w:p>
      <w:pPr>
        <w:spacing w:after="120" w:line="280"/>
        <w:jc w:val="both"/>
      </w:pPr>
      <w:r>
        <w:rPr>
          <w:rFonts w:ascii="Cambria" w:cs="Cambria" w:eastAsia="Cambria" w:hAnsi="Cambria"/>
          <w:sz w:val="22"/>
          <w:szCs w:val="22"/>
        </w:rPr>
        <w:t xml:space="preserve">[vCard] Perreault, S., "vCard Format Specification", RFC 6350, August 2011.</w:t>
      </w:r>
    </w:p>
    <w:p>
      <w:pPr>
        <w:spacing w:after="120" w:line="280"/>
        <w:jc w:val="both"/>
      </w:pPr>
      <w:r>
        <w:rPr>
          <w:rFonts w:ascii="Cambria" w:cs="Cambria" w:eastAsia="Cambria" w:hAnsi="Cambria"/>
          <w:sz w:val="22"/>
          <w:szCs w:val="22"/>
        </w:rPr>
        <w:t xml:space="preserve">[RAPL] Intel, "Running Average Power Limit" — Intel 64 and IA-32 Architectures Software Developer's Manual, Volume 3B, Chapter 14.</w:t>
      </w:r>
    </w:p>
    <w:p>
      <w:pPr>
        <w:spacing w:before="600"/>
        <w:jc w:val="center"/>
      </w:pPr>
      <w:r>
        <w:rPr>
          <w:rFonts w:ascii="Cambria" w:cs="Cambria" w:eastAsia="Cambria" w:hAnsi="Cambria"/>
          <w:i/>
          <w:iCs/>
          <w:color w:val="888888"/>
          <w:sz w:val="20"/>
          <w:szCs w:val="20"/>
        </w:rPr>
        <w:t xml:space="preserve">— end of EOC-1 Eval-001 working draft 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EOC-1 Eval-001 Working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EOC-1 Eval-001 Specification</dc:title>
  <dc:creator>EOC</dc:creator>
  <cp:lastModifiedBy>Un-named</cp:lastModifiedBy>
  <cp:revision>1</cp:revision>
  <dcterms:created xsi:type="dcterms:W3CDTF">2026-05-06T15:03:16.167Z</dcterms:created>
  <dcterms:modified xsi:type="dcterms:W3CDTF">2026-05-06T15:03:16.183Z</dcterms:modified>
</cp:coreProperties>
</file>

<file path=docProps/custom.xml><?xml version="1.0" encoding="utf-8"?>
<Properties xmlns="http://schemas.openxmlformats.org/officeDocument/2006/custom-properties" xmlns:vt="http://schemas.openxmlformats.org/officeDocument/2006/docPropsVTypes"/>
</file>