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EOC-1</w:t>
      </w:r>
    </w:p>
    <w:p>
      <w:pPr>
        <w:spacing w:after="240"/>
        <w:jc w:val="center"/>
      </w:pPr>
      <w:r>
        <w:rPr>
          <w:rFonts w:ascii="Cambria" w:cs="Cambria" w:eastAsia="Cambria" w:hAnsi="Cambria"/>
          <w:b/>
          <w:bCs/>
          <w:sz w:val="48"/>
          <w:szCs w:val="48"/>
        </w:rPr>
        <w:t xml:space="preserve">Energy-Optimized Compute</w:t>
      </w:r>
    </w:p>
    <w:p>
      <w:pPr>
        <w:spacing w:after="60"/>
        <w:jc w:val="center"/>
      </w:pPr>
      <w:r>
        <w:rPr>
          <w:rFonts w:ascii="Cambria" w:cs="Cambria" w:eastAsia="Cambria" w:hAnsi="Cambria"/>
          <w:i/>
          <w:iCs/>
          <w:sz w:val="28"/>
          <w:szCs w:val="28"/>
        </w:rPr>
        <w:t xml:space="preserve">A Tiered, Always-Available, Free AI Substrate</w:t>
      </w:r>
    </w:p>
    <w:p>
      <w:pPr>
        <w:spacing w:after="600"/>
        <w:jc w:val="center"/>
      </w:pPr>
      <w:r>
        <w:rPr>
          <w:rFonts w:ascii="Cambria" w:cs="Cambria" w:eastAsia="Cambria" w:hAnsi="Cambria"/>
          <w:color w:val="555555"/>
          <w:sz w:val="22"/>
          <w:szCs w:val="22"/>
        </w:rPr>
        <w:t xml:space="preserve">Specification — Working Draft 0.1</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specifies a candidate protocol and architecture for a free, energy-optimized AI substrate. It is a working draft. Distribution is unlimited.</w:t>
      </w:r>
    </w:p>
    <w:p>
      <w:pPr>
        <w:spacing w:after="60"/>
        <w:jc w:val="center"/>
      </w:pPr>
      <w:r>
        <w:rPr>
          <w:rFonts w:ascii="Cambria" w:cs="Cambria" w:eastAsia="Cambria" w:hAnsi="Cambria"/>
          <w:b/>
          <w:bCs/>
          <w:sz w:val="22"/>
          <w:szCs w:val="22"/>
        </w:rPr>
        <w:t xml:space="preserve">Editor</w:t>
      </w:r>
    </w:p>
    <w:p>
      <w:pPr>
        <w:spacing w:after="80"/>
        <w:jc w:val="center"/>
      </w:pPr>
      <w:r>
        <w:rPr>
          <w:rFonts w:ascii="Cambria" w:cs="Cambria" w:eastAsia="Cambria" w:hAnsi="Cambria"/>
          <w:sz w:val="20"/>
          <w:szCs w:val="20"/>
        </w:rPr>
        <w:t xml:space="preserve">D. — OpenIE</w:t>
      </w:r>
    </w:p>
    <w:p>
      <w:r>
        <w:br w:type="page"/>
      </w:r>
    </w:p>
    <w:p>
      <w:pPr>
        <w:pStyle w:val="Heading1"/>
        <w:spacing w:after="180" w:before="360"/>
      </w:pPr>
      <w:r>
        <w:rPr>
          <w:rFonts w:ascii="Cambria" w:cs="Cambria" w:eastAsia="Cambria" w:hAnsi="Cambria"/>
          <w:b/>
          <w:bCs/>
          <w:sz w:val="30"/>
          <w:szCs w:val="30"/>
        </w:rPr>
        <w:t xml:space="preserve">1. Introduction and Conventions</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This document specifies Energy-Optimized Compute (EOC), a tiered AI substrate designed to be free, always-available, and energy-honest. EOC inverts the prevailing paradigm in which every query is routed to a large stochastic model regardless of need. Under EOC, queries MUST be resolved at the lowest computational tier capable of producing a sufficient answer, and large neural models are invoked only as a fuzzy-logic escape hatch.</w:t>
      </w:r>
    </w:p>
    <w:p>
      <w:pPr>
        <w:pStyle w:val="Heading2"/>
        <w:spacing w:after="140" w:before="280"/>
      </w:pPr>
      <w:r>
        <w:rPr>
          <w:rFonts w:ascii="Cambria" w:cs="Cambria" w:eastAsia="Cambria" w:hAnsi="Cambria"/>
          <w:b/>
          <w:bCs/>
          <w:sz w:val="26"/>
          <w:szCs w:val="26"/>
        </w:rPr>
        <w:t xml:space="preserve">1.2.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described in RFC 2119 and RFC 8174 when, and only when, they appear in all capitals.</w:t>
      </w:r>
    </w:p>
    <w:p>
      <w:pPr>
        <w:pStyle w:val="Heading2"/>
        <w:spacing w:after="140" w:before="280"/>
      </w:pPr>
      <w:r>
        <w:rPr>
          <w:rFonts w:ascii="Cambria" w:cs="Cambria" w:eastAsia="Cambria" w:hAnsi="Cambria"/>
          <w:b/>
          <w:bCs/>
          <w:sz w:val="26"/>
          <w:szCs w:val="26"/>
        </w:rPr>
        <w:t xml:space="preserve">1.3. Terminology</w:t>
      </w:r>
    </w:p>
    <w:p>
      <w:pPr>
        <w:spacing w:after="120" w:line="280"/>
        <w:jc w:val="both"/>
      </w:pPr>
      <w:r>
        <w:rPr>
          <w:rFonts w:ascii="Cambria" w:cs="Cambria" w:eastAsia="Cambria" w:hAnsi="Cambria"/>
          <w:b/>
          <w:bCs/>
          <w:sz w:val="22"/>
          <w:szCs w:val="22"/>
        </w:rPr>
        <w:t xml:space="preserve">Substrate</w:t>
      </w:r>
      <w:r>
        <w:rPr>
          <w:rFonts w:ascii="Cambria" w:cs="Cambria" w:eastAsia="Cambria" w:hAnsi="Cambria"/>
          <w:sz w:val="22"/>
          <w:szCs w:val="22"/>
        </w:rPr>
        <w:t xml:space="preserve">: the entire EOC system, comprising all tiers, the dispatcher, and the network layer.</w:t>
      </w:r>
    </w:p>
    <w:p>
      <w:pPr>
        <w:spacing w:after="120" w:line="280"/>
        <w:jc w:val="both"/>
      </w:pPr>
      <w:r>
        <w:rPr>
          <w:rFonts w:ascii="Cambria" w:cs="Cambria" w:eastAsia="Cambria" w:hAnsi="Cambria"/>
          <w:b/>
          <w:bCs/>
          <w:sz w:val="22"/>
          <w:szCs w:val="22"/>
        </w:rPr>
        <w:t xml:space="preserve">Node</w:t>
      </w:r>
      <w:r>
        <w:rPr>
          <w:rFonts w:ascii="Cambria" w:cs="Cambria" w:eastAsia="Cambria" w:hAnsi="Cambria"/>
          <w:sz w:val="22"/>
          <w:szCs w:val="22"/>
        </w:rPr>
        <w:t xml:space="preserve">: a single instance of the substrate runtime executing on host hardware (server, workstation, or browser).</w:t>
      </w:r>
    </w:p>
    <w:p>
      <w:pPr>
        <w:spacing w:after="120" w:line="280"/>
        <w:jc w:val="both"/>
      </w:pPr>
      <w:r>
        <w:rPr>
          <w:rFonts w:ascii="Cambria" w:cs="Cambria" w:eastAsia="Cambria" w:hAnsi="Cambria"/>
          <w:b/>
          <w:bCs/>
          <w:sz w:val="22"/>
          <w:szCs w:val="22"/>
        </w:rPr>
        <w:t xml:space="preserve">Tier</w:t>
      </w:r>
      <w:r>
        <w:rPr>
          <w:rFonts w:ascii="Cambria" w:cs="Cambria" w:eastAsia="Cambria" w:hAnsi="Cambria"/>
          <w:sz w:val="22"/>
          <w:szCs w:val="22"/>
        </w:rPr>
        <w:t xml:space="preserve">: one of four ordered computational layers (T1–T4) defined in Section 3.</w:t>
      </w:r>
    </w:p>
    <w:p>
      <w:pPr>
        <w:spacing w:after="120" w:line="280"/>
        <w:jc w:val="both"/>
      </w:pPr>
      <w:r>
        <w:rPr>
          <w:rFonts w:ascii="Cambria" w:cs="Cambria" w:eastAsia="Cambria" w:hAnsi="Cambria"/>
          <w:b/>
          <w:bCs/>
          <w:sz w:val="22"/>
          <w:szCs w:val="22"/>
        </w:rPr>
        <w:t xml:space="preserve">Dispatcher</w:t>
      </w:r>
      <w:r>
        <w:rPr>
          <w:rFonts w:ascii="Cambria" w:cs="Cambria" w:eastAsia="Cambria" w:hAnsi="Cambria"/>
          <w:sz w:val="22"/>
          <w:szCs w:val="22"/>
        </w:rPr>
        <w:t xml:space="preserve">: the deterministic component that routes queries through tiers in order.</w:t>
      </w:r>
    </w:p>
    <w:p>
      <w:pPr>
        <w:spacing w:after="120" w:line="280"/>
        <w:jc w:val="both"/>
      </w:pPr>
      <w:r>
        <w:rPr>
          <w:rFonts w:ascii="Cambria" w:cs="Cambria" w:eastAsia="Cambria" w:hAnsi="Cambria"/>
          <w:b/>
          <w:bCs/>
          <w:sz w:val="22"/>
          <w:szCs w:val="22"/>
        </w:rPr>
        <w:t xml:space="preserve">Capability Descriptor</w:t>
      </w:r>
      <w:r>
        <w:rPr>
          <w:rFonts w:ascii="Cambria" w:cs="Cambria" w:eastAsia="Cambria" w:hAnsi="Cambria"/>
          <w:sz w:val="22"/>
          <w:szCs w:val="22"/>
        </w:rPr>
        <w:t xml:space="preserve">: a signed, structured advertisement of what a node can serve, at what proficiency, within what energy envelope.</w:t>
      </w:r>
    </w:p>
    <w:p>
      <w:pPr>
        <w:spacing w:after="120" w:line="280"/>
        <w:jc w:val="both"/>
      </w:pPr>
      <w:r>
        <w:rPr>
          <w:rFonts w:ascii="Cambria" w:cs="Cambria" w:eastAsia="Cambria" w:hAnsi="Cambria"/>
          <w:b/>
          <w:bCs/>
          <w:sz w:val="22"/>
          <w:szCs w:val="22"/>
        </w:rPr>
        <w:t xml:space="preserve">Proficiency Tier</w:t>
      </w:r>
      <w:r>
        <w:rPr>
          <w:rFonts w:ascii="Cambria" w:cs="Cambria" w:eastAsia="Cambria" w:hAnsi="Cambria"/>
          <w:sz w:val="22"/>
          <w:szCs w:val="22"/>
        </w:rPr>
        <w:t xml:space="preserve">: one of three open evaluation classes (P1–P3) defined in Section 8, certifying minimum reliable competence on a defined task class.</w:t>
      </w:r>
    </w:p>
    <w:p>
      <w:pPr>
        <w:spacing w:after="120" w:line="280"/>
        <w:jc w:val="both"/>
      </w:pPr>
      <w:r>
        <w:rPr>
          <w:rFonts w:ascii="Cambria" w:cs="Cambria" w:eastAsia="Cambria" w:hAnsi="Cambria"/>
          <w:b/>
          <w:bCs/>
          <w:sz w:val="22"/>
          <w:szCs w:val="22"/>
        </w:rPr>
        <w:t xml:space="preserve">Energy Envelope</w:t>
      </w:r>
      <w:r>
        <w:rPr>
          <w:rFonts w:ascii="Cambria" w:cs="Cambria" w:eastAsia="Cambria" w:hAnsi="Cambria"/>
          <w:sz w:val="22"/>
          <w:szCs w:val="22"/>
        </w:rPr>
        <w:t xml:space="preserve">: an upper bound on joules per task at a defined throughput on reference hardware.</w:t>
      </w:r>
    </w:p>
    <w:p>
      <w:pPr>
        <w:spacing w:after="120" w:line="280"/>
        <w:jc w:val="both"/>
      </w:pPr>
      <w:r>
        <w:rPr>
          <w:rFonts w:ascii="Cambria" w:cs="Cambria" w:eastAsia="Cambria" w:hAnsi="Cambria"/>
          <w:b/>
          <w:bCs/>
          <w:sz w:val="22"/>
          <w:szCs w:val="22"/>
        </w:rPr>
        <w:t xml:space="preserve">Artifact</w:t>
      </w:r>
      <w:r>
        <w:rPr>
          <w:rFonts w:ascii="Cambria" w:cs="Cambria" w:eastAsia="Cambria" w:hAnsi="Cambria"/>
          <w:sz w:val="22"/>
          <w:szCs w:val="22"/>
        </w:rPr>
        <w:t xml:space="preserve">: any content-addressed, signed binary distributed by the substrate (model weights, state machines, eval corpora).</w:t>
      </w:r>
    </w:p>
    <w:p>
      <w:pPr>
        <w:pStyle w:val="Heading2"/>
        <w:spacing w:after="140" w:before="280"/>
      </w:pPr>
      <w:r>
        <w:rPr>
          <w:rFonts w:ascii="Cambria" w:cs="Cambria" w:eastAsia="Cambria" w:hAnsi="Cambria"/>
          <w:b/>
          <w:bCs/>
          <w:sz w:val="26"/>
          <w:szCs w:val="26"/>
        </w:rPr>
        <w:t xml:space="preserve">1.4. Design Premises</w:t>
      </w:r>
    </w:p>
    <w:p>
      <w:pPr>
        <w:spacing w:after="120" w:line="280"/>
        <w:jc w:val="both"/>
      </w:pPr>
      <w:r>
        <w:rPr>
          <w:rFonts w:ascii="Cambria" w:cs="Cambria" w:eastAsia="Cambria" w:hAnsi="Cambria"/>
          <w:sz w:val="22"/>
          <w:szCs w:val="22"/>
        </w:rPr>
        <w:t xml:space="preserve">The substrate is designed under three premises that are normative for the architecture and informative for implementations:</w:t>
      </w:r>
    </w:p>
    <w:p>
      <w:pPr>
        <w:pStyle w:val="ListParagraph"/>
        <w:numPr>
          <w:ilvl w:val="0"/>
          <w:numId w:val="2"/>
        </w:numPr>
        <w:spacing w:after="80" w:line="280"/>
      </w:pPr>
      <w:r>
        <w:rPr>
          <w:rFonts w:ascii="Cambria" w:cs="Cambria" w:eastAsia="Cambria" w:hAnsi="Cambria"/>
          <w:sz w:val="22"/>
          <w:szCs w:val="22"/>
        </w:rPr>
        <w:t xml:space="preserve">LUT-before-compute: if the answer is known, it MUST be looked up rather than recomputed.</w:t>
      </w:r>
    </w:p>
    <w:p>
      <w:pPr>
        <w:pStyle w:val="ListParagraph"/>
        <w:numPr>
          <w:ilvl w:val="0"/>
          <w:numId w:val="2"/>
        </w:numPr>
        <w:spacing w:after="80" w:line="280"/>
      </w:pPr>
      <w:r>
        <w:rPr>
          <w:rFonts w:ascii="Cambria" w:cs="Cambria" w:eastAsia="Cambria" w:hAnsi="Cambria"/>
          <w:sz w:val="22"/>
          <w:szCs w:val="22"/>
        </w:rPr>
        <w:t xml:space="preserve">Deterministic-before-stochastic: stochastic computation MUST NOT be invoked when a deterministic equivalent exists.</w:t>
      </w:r>
    </w:p>
    <w:p>
      <w:pPr>
        <w:pStyle w:val="ListParagraph"/>
        <w:numPr>
          <w:ilvl w:val="0"/>
          <w:numId w:val="2"/>
        </w:numPr>
        <w:spacing w:after="80" w:line="280"/>
      </w:pPr>
      <w:r>
        <w:rPr>
          <w:rFonts w:ascii="Cambria" w:cs="Cambria" w:eastAsia="Cambria" w:hAnsi="Cambria"/>
          <w:sz w:val="22"/>
          <w:szCs w:val="22"/>
        </w:rPr>
        <w:t xml:space="preserve">Composition-before-scale: capability extension MUST occur by composition of small typed units, not by scaling a monolithic model.</w:t>
      </w:r>
    </w:p>
    <w:p>
      <w:pPr>
        <w:pStyle w:val="Heading1"/>
        <w:pageBreakBefore/>
        <w:spacing w:after="180" w:before="0"/>
      </w:pPr>
      <w:r>
        <w:rPr>
          <w:rFonts w:ascii="Cambria" w:cs="Cambria" w:eastAsia="Cambria" w:hAnsi="Cambria"/>
          <w:b/>
          <w:bCs/>
          <w:sz w:val="30"/>
          <w:szCs w:val="30"/>
        </w:rPr>
        <w:t xml:space="preserve">2. Architecture Overview</w:t>
      </w:r>
    </w:p>
    <w:p>
      <w:pPr>
        <w:spacing w:after="120" w:line="280"/>
        <w:jc w:val="both"/>
      </w:pPr>
      <w:r>
        <w:rPr>
          <w:rFonts w:ascii="Cambria" w:cs="Cambria" w:eastAsia="Cambria" w:hAnsi="Cambria"/>
          <w:sz w:val="22"/>
          <w:szCs w:val="22"/>
        </w:rPr>
        <w:t xml:space="preserve">An EOC node is composed of: a dispatcher (Section 4); four computational tiers T1 through T4 (Sections 5–8); a capability descriptor exporter (Section 9); and a network adapter (Section 10). Queries enter the dispatcher, are typed, and walk the tier sequence until resolved. Resolutions are logged. Logs feed cache promotion (Section 5.4) and lift loops (Section 6.4).</w:t>
      </w:r>
    </w:p>
    <w:p>
      <w:pPr>
        <w:pStyle w:val="Heading2"/>
        <w:spacing w:after="140" w:before="280"/>
      </w:pPr>
      <w:r>
        <w:rPr>
          <w:rFonts w:ascii="Cambria" w:cs="Cambria" w:eastAsia="Cambria" w:hAnsi="Cambria"/>
          <w:b/>
          <w:bCs/>
          <w:sz w:val="26"/>
          <w:szCs w:val="26"/>
        </w:rPr>
        <w:t xml:space="preserve">2.1. Reference Topology</w:t>
      </w:r>
    </w:p>
    <w:p>
      <w:pPr>
        <w:shd w:fill="F4F4F4" w:val="clear"/>
        <w:spacing w:after="140" w:before="100" w:line="260"/>
        <w:jc w:val="left"/>
      </w:pPr>
      <w:r>
        <w:rPr>
          <w:rFonts w:ascii="Consolas" w:cs="Consolas" w:eastAsia="Consolas" w:hAnsi="Consolas"/>
          <w:sz w:val="18"/>
          <w:szCs w:val="18"/>
        </w:rPr>
        <w:t xml:space="preserve">        +------------------+
        |  Client / Caller |
        +---------+--------+
                  |
                  v
         +--------+---------+
         |    Dispatcher    |   (Section 4)
         |  (deterministic) |
         +--------+---------+
                  |
   +----+---------+---------+----+
   |    |         |         |    |
   v    v         v         v    v
  T1   T2        T3        T4   (Sections 5-8)
  LUT  Det.      ECS+      eLLM
  $    SM        Narrow    CPU
                  ML
   |    |         |         |
   +----+----+----+----+----+
            |
            v
      +-----+------+
      |  Logger /  |   (cache promotion, lift extraction)
      |  Reflector |
      +------------+</w:t>
      </w:r>
    </w:p>
    <w:p>
      <w:pPr>
        <w:pStyle w:val="Heading2"/>
        <w:spacing w:after="140" w:before="280"/>
      </w:pPr>
      <w:r>
        <w:rPr>
          <w:rFonts w:ascii="Cambria" w:cs="Cambria" w:eastAsia="Cambria" w:hAnsi="Cambria"/>
          <w:b/>
          <w:bCs/>
          <w:sz w:val="26"/>
          <w:szCs w:val="26"/>
        </w:rPr>
        <w:t xml:space="preserve">2.2. Cost Model</w:t>
      </w:r>
    </w:p>
    <w:p>
      <w:pPr>
        <w:spacing w:after="120" w:line="280"/>
        <w:jc w:val="both"/>
      </w:pPr>
      <w:r>
        <w:rPr>
          <w:rFonts w:ascii="Cambria" w:cs="Cambria" w:eastAsia="Cambria" w:hAnsi="Cambria"/>
          <w:sz w:val="22"/>
          <w:szCs w:val="22"/>
        </w:rPr>
        <w:t xml:space="preserve">The substrate's central efficiency claim is that resolution cost is dominated by the lowest tier in which a query lands. Implementations MUST measure and report per-query joules end-to-end. The expected order-of-magnitude cost per tier is given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1830"/>
        <w:gridCol w:w="1830"/>
      </w:tblGrid>
      <w:tr>
        <w:trPr>
          <w:tblHeader/>
        </w:trPr>
        <w:tc>
          <w:tcPr>
            <w:tcW w:type="dxa" w:w="9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Tier</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Mechanism</w:t>
            </w:r>
          </w:p>
        </w:tc>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Handles</w:t>
            </w:r>
          </w:p>
        </w:tc>
        <w:tc>
          <w:tcPr>
            <w:tcW w:type="dxa" w:w="183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Cost / Query</w:t>
            </w:r>
          </w:p>
        </w:tc>
        <w:tc>
          <w:tcPr>
            <w:tcW w:type="dxa" w:w="183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Expected Share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Content-addressed lookup</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Solved questions, exact matches, canonical knowledge</w:t>
            </w:r>
          </w:p>
        </w:tc>
        <w:tc>
          <w:tcPr>
            <w:tcW w:type="dxa" w:w="1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nanojoules</w:t>
            </w:r>
          </w:p>
        </w:tc>
        <w:tc>
          <w:tcPr>
            <w:tcW w:type="dxa" w:w="1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40–60%</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Deterministic compute, ECS, state machines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Extraction, validation, classification, transformation</w:t>
            </w:r>
          </w:p>
        </w:tc>
        <w:tc>
          <w:tcPr>
            <w:tcW w:type="dxa" w:w="1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microjoules</w:t>
            </w:r>
          </w:p>
        </w:tc>
        <w:tc>
          <w:tcPr>
            <w:tcW w:type="dxa" w:w="1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25–40%</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Narrow specialists (NER, intent, embeddings)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Bounded ML, multi-step deterministic flows</w:t>
            </w:r>
          </w:p>
        </w:tc>
        <w:tc>
          <w:tcPr>
            <w:tcW w:type="dxa" w:w="1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millijoules</w:t>
            </w:r>
          </w:p>
        </w:tc>
        <w:tc>
          <w:tcPr>
            <w:tcW w:type="dxa" w:w="1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8–15%</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CPU-native LLM (eLLM-class)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Free-text generation, fuzzy reasoning</w:t>
            </w:r>
          </w:p>
        </w:tc>
        <w:tc>
          <w:tcPr>
            <w:tcW w:type="dxa" w:w="1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joules</w:t>
            </w:r>
          </w:p>
        </w:tc>
        <w:tc>
          <w:tcPr>
            <w:tcW w:type="dxa" w:w="18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2–8%</w:t>
            </w:r>
          </w:p>
        </w:tc>
      </w:tr>
    </w:tbl>
    <w:p>
      <w:pPr>
        <w:spacing w:after="120" w:line="280"/>
        <w:jc w:val="both"/>
      </w:pPr>
      <w:r>
        <w:rPr>
          <w:rFonts w:ascii="Cambria" w:cs="Cambria" w:eastAsia="Cambria" w:hAnsi="Cambria"/>
          <w:sz w:val="22"/>
          <w:szCs w:val="22"/>
        </w:rPr>
        <w:t xml:space="preserve"/>
      </w:r>
    </w:p>
    <w:p>
      <w:pPr>
        <w:spacing w:after="200"/>
        <w:jc w:val="both"/>
      </w:pPr>
      <w:r>
        <w:rPr>
          <w:rFonts w:ascii="Cambria" w:cs="Cambria" w:eastAsia="Cambria" w:hAnsi="Cambria"/>
          <w:b/>
          <w:bCs/>
          <w:sz w:val="22"/>
          <w:szCs w:val="22"/>
        </w:rPr>
        <w:t xml:space="preserve">Table 1.</w:t>
      </w:r>
      <w:r>
        <w:rPr>
          <w:rFonts w:ascii="Cambria" w:cs="Cambria" w:eastAsia="Cambria" w:hAnsi="Cambria"/>
          <w:sz w:val="22"/>
          <w:szCs w:val="22"/>
        </w:rPr>
        <w:t xml:space="preserve"> Tier cost model (target distribution). Implementations SHOULD report observed distribution; deviation from target is informative, not normative.</w:t>
      </w:r>
    </w:p>
    <w:p>
      <w:pPr>
        <w:pStyle w:val="Heading1"/>
        <w:pageBreakBefore/>
        <w:spacing w:after="180" w:before="0"/>
      </w:pPr>
      <w:r>
        <w:rPr>
          <w:rFonts w:ascii="Cambria" w:cs="Cambria" w:eastAsia="Cambria" w:hAnsi="Cambria"/>
          <w:b/>
          <w:bCs/>
          <w:sz w:val="30"/>
          <w:szCs w:val="30"/>
        </w:rPr>
        <w:t xml:space="preserve">3. Tier Contract</w:t>
      </w:r>
    </w:p>
    <w:p>
      <w:pPr>
        <w:spacing w:after="120" w:line="280"/>
        <w:jc w:val="both"/>
      </w:pPr>
      <w:r>
        <w:rPr>
          <w:rFonts w:ascii="Cambria" w:cs="Cambria" w:eastAsia="Cambria" w:hAnsi="Cambria"/>
          <w:sz w:val="22"/>
          <w:szCs w:val="22"/>
        </w:rPr>
        <w:t xml:space="preserve">All tiers MUST conform to a single interface. This is the load-bearing abstraction of the substrate: the dispatcher does not need to know how a tier resolves a query, only that it conforms to the contract.</w:t>
      </w:r>
    </w:p>
    <w:p>
      <w:pPr>
        <w:pStyle w:val="Heading2"/>
        <w:spacing w:after="140" w:before="280"/>
      </w:pPr>
      <w:r>
        <w:rPr>
          <w:rFonts w:ascii="Cambria" w:cs="Cambria" w:eastAsia="Cambria" w:hAnsi="Cambria"/>
          <w:b/>
          <w:bCs/>
          <w:sz w:val="26"/>
          <w:szCs w:val="26"/>
        </w:rPr>
        <w:t xml:space="preserve">3.1. Tier Interface</w:t>
      </w:r>
    </w:p>
    <w:p>
      <w:pPr>
        <w:shd w:fill="F4F4F4" w:val="clear"/>
        <w:spacing w:after="140" w:before="100" w:line="260"/>
        <w:jc w:val="left"/>
      </w:pPr>
      <w:r>
        <w:rPr>
          <w:rFonts w:ascii="Consolas" w:cs="Consolas" w:eastAsia="Consolas" w:hAnsi="Consolas"/>
          <w:sz w:val="18"/>
          <w:szCs w:val="18"/>
        </w:rPr>
        <w:t xml:space="preserve">trait Tier {
    /// Attempt to resolve a typed query at this tier.
    /// MUST be deterministic for a given (query, tier_state) pair,
    /// EXCEPT for T4, which MAY be stochastic.
    fn resolve(&amp;self, query: TypedQuery) -&gt; TierOutcome;
    /// Capabilities this tier currently serves.
    fn capabilities(&amp;self) -&gt; CapabilitySet;
}
enum TierOutcome {
    Resolved {
        result:     TypedResult,
        confidence: f32,           // [0.0, 1.0]
        joules:     f32,           // measured energy cost
        provenance: Provenance,    // which tier, which artifact version
    },
    Defer {
        reason: DeferReason,       // typed; see Section 3.3
    },
    Failed {
        error: TypedError,         // terminal; do not escalate
    },
}</w:t>
      </w:r>
    </w:p>
    <w:p>
      <w:pPr>
        <w:pStyle w:val="Heading2"/>
        <w:spacing w:after="140" w:before="280"/>
      </w:pPr>
      <w:r>
        <w:rPr>
          <w:rFonts w:ascii="Cambria" w:cs="Cambria" w:eastAsia="Cambria" w:hAnsi="Cambria"/>
          <w:b/>
          <w:bCs/>
          <w:sz w:val="26"/>
          <w:szCs w:val="26"/>
        </w:rPr>
        <w:t xml:space="preserve">3.2. Confidence Semantics</w:t>
      </w:r>
    </w:p>
    <w:p>
      <w:pPr>
        <w:spacing w:after="120" w:line="280"/>
        <w:jc w:val="both"/>
      </w:pPr>
      <w:r>
        <w:rPr>
          <w:rFonts w:ascii="Cambria" w:cs="Cambria" w:eastAsia="Cambria" w:hAnsi="Cambria"/>
          <w:sz w:val="22"/>
          <w:szCs w:val="22"/>
        </w:rPr>
        <w:t xml:space="preserve">Confidence MUST be a real number in [0.0, 1.0]. Tiers T1–T3 SHOULD report 1.0 unless a specific deterministic uncertainty applies (e.g., a fuzzy-match cache hit, a classifier with calibrated probability). T4 confidence MAY be derived from token probabilities or a calibrated head; calibration methodology MUST be documented in the node's capability descriptor.</w:t>
      </w:r>
    </w:p>
    <w:p>
      <w:pPr>
        <w:pStyle w:val="Heading2"/>
        <w:spacing w:after="140" w:before="280"/>
      </w:pPr>
      <w:r>
        <w:rPr>
          <w:rFonts w:ascii="Cambria" w:cs="Cambria" w:eastAsia="Cambria" w:hAnsi="Cambria"/>
          <w:b/>
          <w:bCs/>
          <w:sz w:val="26"/>
          <w:szCs w:val="26"/>
        </w:rPr>
        <w:t xml:space="preserve">3.3. Defer Reasons</w:t>
      </w:r>
    </w:p>
    <w:p>
      <w:pPr>
        <w:spacing w:after="120" w:line="280"/>
        <w:jc w:val="both"/>
      </w:pPr>
      <w:r>
        <w:rPr>
          <w:rFonts w:ascii="Cambria" w:cs="Cambria" w:eastAsia="Cambria" w:hAnsi="Cambria"/>
          <w:sz w:val="22"/>
          <w:szCs w:val="22"/>
        </w:rPr>
        <w:t xml:space="preserve">Defer reasons MUST be drawn from the following typed enumeration. Implementations MUST NOT introduce ad-hoc reason strings, as the dispatcher routes on these tags.</w:t>
      </w:r>
    </w:p>
    <w:p>
      <w:pPr>
        <w:pStyle w:val="ListParagraph"/>
        <w:numPr>
          <w:ilvl w:val="0"/>
          <w:numId w:val="2"/>
        </w:numPr>
        <w:spacing w:after="80" w:line="280"/>
      </w:pPr>
      <w:r>
        <w:rPr>
          <w:rFonts w:ascii="Cambria" w:cs="Cambria" w:eastAsia="Cambria" w:hAnsi="Cambria"/>
          <w:sz w:val="22"/>
          <w:szCs w:val="22"/>
        </w:rPr>
        <w:t xml:space="preserve">NotKnown — the tier has no entry, rule, or model for this query.</w:t>
      </w:r>
    </w:p>
    <w:p>
      <w:pPr>
        <w:pStyle w:val="ListParagraph"/>
        <w:numPr>
          <w:ilvl w:val="0"/>
          <w:numId w:val="2"/>
        </w:numPr>
        <w:spacing w:after="80" w:line="280"/>
      </w:pPr>
      <w:r>
        <w:rPr>
          <w:rFonts w:ascii="Cambria" w:cs="Cambria" w:eastAsia="Cambria" w:hAnsi="Cambria"/>
          <w:sz w:val="22"/>
          <w:szCs w:val="22"/>
        </w:rPr>
        <w:t xml:space="preserve">ConfidenceBelowThreshold — the tier produced a candidate result but its confidence is below the type's required floor.</w:t>
      </w:r>
    </w:p>
    <w:p>
      <w:pPr>
        <w:pStyle w:val="ListParagraph"/>
        <w:numPr>
          <w:ilvl w:val="0"/>
          <w:numId w:val="2"/>
        </w:numPr>
        <w:spacing w:after="80" w:line="280"/>
      </w:pPr>
      <w:r>
        <w:rPr>
          <w:rFonts w:ascii="Cambria" w:cs="Cambria" w:eastAsia="Cambria" w:hAnsi="Cambria"/>
          <w:sz w:val="22"/>
          <w:szCs w:val="22"/>
        </w:rPr>
        <w:t xml:space="preserve">OutOfScope — the query type is not in this tier's capability set.</w:t>
      </w:r>
    </w:p>
    <w:p>
      <w:pPr>
        <w:pStyle w:val="ListParagraph"/>
        <w:numPr>
          <w:ilvl w:val="0"/>
          <w:numId w:val="2"/>
        </w:numPr>
        <w:spacing w:after="80" w:line="280"/>
      </w:pPr>
      <w:r>
        <w:rPr>
          <w:rFonts w:ascii="Cambria" w:cs="Cambria" w:eastAsia="Cambria" w:hAnsi="Cambria"/>
          <w:sz w:val="22"/>
          <w:szCs w:val="22"/>
        </w:rPr>
        <w:t xml:space="preserve">ResourceExhausted — the tier is rate-limited or out of memory at this instant.</w:t>
      </w:r>
    </w:p>
    <w:p>
      <w:pPr>
        <w:pStyle w:val="ListParagraph"/>
        <w:numPr>
          <w:ilvl w:val="0"/>
          <w:numId w:val="2"/>
        </w:numPr>
        <w:spacing w:after="80" w:line="280"/>
      </w:pPr>
      <w:r>
        <w:rPr>
          <w:rFonts w:ascii="Cambria" w:cs="Cambria" w:eastAsia="Cambria" w:hAnsi="Cambria"/>
          <w:sz w:val="22"/>
          <w:szCs w:val="22"/>
        </w:rPr>
        <w:t xml:space="preserve">RequiresFuzzyResolution — the tier is deterministic and the input is structurally fuzzy.</w:t>
      </w:r>
    </w:p>
    <w:p>
      <w:pPr>
        <w:pStyle w:val="Heading2"/>
        <w:spacing w:after="140" w:before="280"/>
      </w:pPr>
      <w:r>
        <w:rPr>
          <w:rFonts w:ascii="Cambria" w:cs="Cambria" w:eastAsia="Cambria" w:hAnsi="Cambria"/>
          <w:b/>
          <w:bCs/>
          <w:sz w:val="26"/>
          <w:szCs w:val="26"/>
        </w:rPr>
        <w:t xml:space="preserve">3.4. Determinism Requirement</w:t>
      </w:r>
    </w:p>
    <w:p>
      <w:pPr>
        <w:spacing w:after="120" w:line="280"/>
        <w:jc w:val="both"/>
      </w:pPr>
      <w:r>
        <w:rPr>
          <w:rFonts w:ascii="Cambria" w:cs="Cambria" w:eastAsia="Cambria" w:hAnsi="Cambria"/>
          <w:sz w:val="22"/>
          <w:szCs w:val="22"/>
        </w:rPr>
        <w:t xml:space="preserve">Tiers T1, T2, and T3 MUST be deterministic. Given the same query and the same tier state (cache contents, loaded state machines, model weights), they MUST produce bit-identical output. This requirement is what makes the substrate auditable and what permits reputation-based trust (Section 10.4). T4 is the only tier permitted stochastic output, and even T4 MUST be deterministic when invoked with a fixed seed.</w:t>
      </w:r>
    </w:p>
    <w:p>
      <w:pPr>
        <w:pStyle w:val="Heading1"/>
        <w:pageBreakBefore/>
        <w:spacing w:after="180" w:before="0"/>
      </w:pPr>
      <w:r>
        <w:rPr>
          <w:rFonts w:ascii="Cambria" w:cs="Cambria" w:eastAsia="Cambria" w:hAnsi="Cambria"/>
          <w:b/>
          <w:bCs/>
          <w:sz w:val="30"/>
          <w:szCs w:val="30"/>
        </w:rPr>
        <w:t xml:space="preserve">4. Dispatcher</w:t>
      </w:r>
    </w:p>
    <w:p>
      <w:pPr>
        <w:spacing w:after="120" w:line="280"/>
        <w:jc w:val="both"/>
      </w:pPr>
      <w:r>
        <w:rPr>
          <w:rFonts w:ascii="Cambria" w:cs="Cambria" w:eastAsia="Cambria" w:hAnsi="Cambria"/>
          <w:sz w:val="22"/>
          <w:szCs w:val="22"/>
        </w:rPr>
        <w:t xml:space="preserve">The dispatcher is the entry point of the substrate. It MUST be a pure function from typed query to tier sequence. The dispatcher itself MUST NOT invoke any stochastic component to make routing decisions.</w:t>
      </w:r>
    </w:p>
    <w:p>
      <w:pPr>
        <w:pStyle w:val="Heading2"/>
        <w:spacing w:after="140" w:before="280"/>
      </w:pPr>
      <w:r>
        <w:rPr>
          <w:rFonts w:ascii="Cambria" w:cs="Cambria" w:eastAsia="Cambria" w:hAnsi="Cambria"/>
          <w:b/>
          <w:bCs/>
          <w:sz w:val="26"/>
          <w:szCs w:val="26"/>
        </w:rPr>
        <w:t xml:space="preserve">4.1. Query Typing</w:t>
      </w:r>
    </w:p>
    <w:p>
      <w:pPr>
        <w:spacing w:after="120" w:line="280"/>
        <w:jc w:val="both"/>
      </w:pPr>
      <w:r>
        <w:rPr>
          <w:rFonts w:ascii="Cambria" w:cs="Cambria" w:eastAsia="Cambria" w:hAnsi="Cambria"/>
          <w:sz w:val="22"/>
          <w:szCs w:val="22"/>
        </w:rPr>
        <w:t xml:space="preserve">Every query MUST carry a type tag before the dispatcher routes it. Three sources of typing are defined, in priority order:</w:t>
      </w:r>
    </w:p>
    <w:p>
      <w:pPr>
        <w:pStyle w:val="ListParagraph"/>
        <w:numPr>
          <w:ilvl w:val="0"/>
          <w:numId w:val="2"/>
        </w:numPr>
        <w:spacing w:after="80" w:line="280"/>
      </w:pPr>
      <w:r>
        <w:rPr>
          <w:rFonts w:ascii="Cambria" w:cs="Cambria" w:eastAsia="Cambria" w:hAnsi="Cambria"/>
          <w:sz w:val="22"/>
          <w:szCs w:val="22"/>
        </w:rPr>
        <w:t xml:space="preserve">Schema-typed — the caller provides a structured request whose schema is registered. The schema URI is the type tag.</w:t>
      </w:r>
    </w:p>
    <w:p>
      <w:pPr>
        <w:pStyle w:val="ListParagraph"/>
        <w:numPr>
          <w:ilvl w:val="0"/>
          <w:numId w:val="2"/>
        </w:numPr>
        <w:spacing w:after="80" w:line="280"/>
      </w:pPr>
      <w:r>
        <w:rPr>
          <w:rFonts w:ascii="Cambria" w:cs="Cambria" w:eastAsia="Cambria" w:hAnsi="Cambria"/>
          <w:sz w:val="22"/>
          <w:szCs w:val="22"/>
        </w:rPr>
        <w:t xml:space="preserve">Pattern-typed — the input matches a registered pattern (regex, grammar, content hash prefix). The pattern ID is the type tag.</w:t>
      </w:r>
    </w:p>
    <w:p>
      <w:pPr>
        <w:pStyle w:val="ListParagraph"/>
        <w:numPr>
          <w:ilvl w:val="0"/>
          <w:numId w:val="2"/>
        </w:numPr>
        <w:spacing w:after="80" w:line="280"/>
      </w:pPr>
      <w:r>
        <w:rPr>
          <w:rFonts w:ascii="Cambria" w:cs="Cambria" w:eastAsia="Cambria" w:hAnsi="Cambria"/>
          <w:sz w:val="22"/>
          <w:szCs w:val="22"/>
        </w:rPr>
        <w:t xml:space="preserve">Untyped — free text or opaque blob. Routes to a deterministic classifier (operating at T2 cost) which emits a type tag, after which the query re-enters the dispatcher.</w:t>
      </w:r>
    </w:p>
    <w:p>
      <w:pPr>
        <w:pStyle w:val="Heading2"/>
        <w:spacing w:after="140" w:before="280"/>
      </w:pPr>
      <w:r>
        <w:rPr>
          <w:rFonts w:ascii="Cambria" w:cs="Cambria" w:eastAsia="Cambria" w:hAnsi="Cambria"/>
          <w:b/>
          <w:bCs/>
          <w:sz w:val="26"/>
          <w:szCs w:val="26"/>
        </w:rPr>
        <w:t xml:space="preserve">4.2. Dispatch Algorithm</w:t>
      </w:r>
    </w:p>
    <w:p>
      <w:pPr>
        <w:spacing w:after="120" w:line="280"/>
        <w:jc w:val="both"/>
      </w:pPr>
      <w:r>
        <w:rPr>
          <w:rFonts w:ascii="Cambria" w:cs="Cambria" w:eastAsia="Cambria" w:hAnsi="Cambria"/>
          <w:sz w:val="22"/>
          <w:szCs w:val="22"/>
        </w:rPr>
        <w:t xml:space="preserve">For each typed query, the dispatcher MUST:</w:t>
      </w:r>
    </w:p>
    <w:p>
      <w:pPr>
        <w:shd w:fill="F4F4F4" w:val="clear"/>
        <w:spacing w:after="140" w:before="100" w:line="260"/>
        <w:jc w:val="left"/>
      </w:pPr>
      <w:r>
        <w:rPr>
          <w:rFonts w:ascii="Consolas" w:cs="Consolas" w:eastAsia="Consolas" w:hAnsi="Consolas"/>
          <w:sz w:val="18"/>
          <w:szCs w:val="18"/>
        </w:rPr>
        <w:t xml:space="preserve">1. Look up the tier sequence registered for this query type.
2. For each tier T in sequence:
     outcome = T.resolve(query)
     match outcome:
       Resolved if confidence &gt;= type.threshold:
           log(outcome); return outcome
       Resolved if confidence &lt;  type.threshold:
           log(deferred_low_confidence); continue
       Defer:
           log(defer); continue
       Failed:
           log(failed); return outcome      # terminal
3. If sequence exhausts without resolution:
     return TypedFailure { reason: NoTierResolved }</w:t>
      </w:r>
    </w:p>
    <w:p>
      <w:pPr>
        <w:pStyle w:val="Heading2"/>
        <w:spacing w:after="140" w:before="280"/>
      </w:pPr>
      <w:r>
        <w:rPr>
          <w:rFonts w:ascii="Cambria" w:cs="Cambria" w:eastAsia="Cambria" w:hAnsi="Cambria"/>
          <w:b/>
          <w:bCs/>
          <w:sz w:val="26"/>
          <w:szCs w:val="26"/>
        </w:rPr>
        <w:t xml:space="preserve">4.3. Tier Sequence Registration</w:t>
      </w:r>
    </w:p>
    <w:p>
      <w:pPr>
        <w:spacing w:after="120" w:line="280"/>
        <w:jc w:val="both"/>
      </w:pPr>
      <w:r>
        <w:rPr>
          <w:rFonts w:ascii="Cambria" w:cs="Cambria" w:eastAsia="Cambria" w:hAnsi="Cambria"/>
          <w:sz w:val="22"/>
          <w:szCs w:val="22"/>
        </w:rPr>
        <w:t xml:space="preserve">Each query type MUST have an associated tier sequence. The sequence MUST be a strict prefix of [T1, T2, T3, T4] — that is, types MAY skip terminal tiers but MUST NOT reorder. The rationale is that energy cost is monotonically non-decreasing in tier index, and skipping cheaper tiers in favor of more expensive ones is the precise pathology this architecture exists to prevent.</w:t>
      </w:r>
    </w:p>
    <w:p>
      <w:pPr>
        <w:pStyle w:val="Heading2"/>
        <w:spacing w:after="140" w:before="280"/>
      </w:pPr>
      <w:r>
        <w:rPr>
          <w:rFonts w:ascii="Cambria" w:cs="Cambria" w:eastAsia="Cambria" w:hAnsi="Cambria"/>
          <w:b/>
          <w:bCs/>
          <w:sz w:val="26"/>
          <w:szCs w:val="26"/>
        </w:rPr>
        <w:t xml:space="preserve">4.4. Stochastic Routing — Forbidden</w:t>
      </w:r>
    </w:p>
    <w:p>
      <w:pPr>
        <w:spacing w:after="120" w:line="280"/>
        <w:jc w:val="both"/>
      </w:pPr>
      <w:r>
        <w:rPr>
          <w:rFonts w:ascii="Cambria" w:cs="Cambria" w:eastAsia="Cambria" w:hAnsi="Cambria"/>
          <w:sz w:val="22"/>
          <w:szCs w:val="22"/>
        </w:rPr>
        <w:t xml:space="preserve">Implementations MUST NOT use a language model, classifier, or other stochastic component to choose between tiers at dispatch time. Routing decisions MUST be reproducible bit-for-bit across nodes given the same query type and registered sequence. A pattern that appears to require fuzzy classification to route MUST instead be implemented as a T2 deterministic classifier returning a type tag, after which the dispatcher routes deterministically on that tag.</w:t>
      </w:r>
    </w:p>
    <w:p>
      <w:pPr>
        <w:pStyle w:val="Heading1"/>
        <w:pageBreakBefore/>
        <w:spacing w:after="180" w:before="0"/>
      </w:pPr>
      <w:r>
        <w:rPr>
          <w:rFonts w:ascii="Cambria" w:cs="Cambria" w:eastAsia="Cambria" w:hAnsi="Cambria"/>
          <w:b/>
          <w:bCs/>
          <w:sz w:val="30"/>
          <w:szCs w:val="30"/>
        </w:rPr>
        <w:t xml:space="preserve">5. T1 — Lookup Layer</w:t>
      </w:r>
    </w:p>
    <w:p>
      <w:pPr>
        <w:spacing w:after="120" w:line="280"/>
        <w:jc w:val="both"/>
      </w:pPr>
      <w:r>
        <w:rPr>
          <w:rFonts w:ascii="Cambria" w:cs="Cambria" w:eastAsia="Cambria" w:hAnsi="Cambria"/>
          <w:sz w:val="22"/>
          <w:szCs w:val="22"/>
        </w:rPr>
        <w:t xml:space="preserve">T1 is a content-addressed cache. It is the cheapest tier and the only one whose energy cost is independent of query complexity.</w:t>
      </w:r>
    </w:p>
    <w:p>
      <w:pPr>
        <w:pStyle w:val="Heading2"/>
        <w:spacing w:after="140" w:before="280"/>
      </w:pPr>
      <w:r>
        <w:rPr>
          <w:rFonts w:ascii="Cambria" w:cs="Cambria" w:eastAsia="Cambria" w:hAnsi="Cambria"/>
          <w:b/>
          <w:bCs/>
          <w:sz w:val="26"/>
          <w:szCs w:val="26"/>
        </w:rPr>
        <w:t xml:space="preserve">5.1. Storage Classes</w:t>
      </w:r>
    </w:p>
    <w:p>
      <w:pPr>
        <w:spacing w:after="120" w:line="280"/>
        <w:jc w:val="both"/>
      </w:pPr>
      <w:r>
        <w:rPr>
          <w:rFonts w:ascii="Cambria" w:cs="Cambria" w:eastAsia="Cambria" w:hAnsi="Cambria"/>
          <w:sz w:val="22"/>
          <w:szCs w:val="22"/>
        </w:rPr>
        <w:t xml:space="preserve">T1 implementations MUST distinguish three storage classes. Mixing them in a single store is a category error and is prohibited.</w:t>
      </w:r>
    </w:p>
    <w:p>
      <w:pPr>
        <w:pStyle w:val="ListParagraph"/>
        <w:numPr>
          <w:ilvl w:val="0"/>
          <w:numId w:val="2"/>
        </w:numPr>
        <w:spacing w:after="80" w:line="280"/>
      </w:pPr>
      <w:r>
        <w:rPr>
          <w:rFonts w:ascii="Cambria" w:cs="Cambria" w:eastAsia="Cambria" w:hAnsi="Cambria"/>
          <w:sz w:val="22"/>
          <w:szCs w:val="22"/>
        </w:rPr>
        <w:t xml:space="preserve">Immutable — mathematical facts, finalized historical data, content-addressed canonical answers. MUST NOT be invalidated.</w:t>
      </w:r>
    </w:p>
    <w:p>
      <w:pPr>
        <w:pStyle w:val="ListParagraph"/>
        <w:numPr>
          <w:ilvl w:val="0"/>
          <w:numId w:val="2"/>
        </w:numPr>
        <w:spacing w:after="80" w:line="280"/>
      </w:pPr>
      <w:r>
        <w:rPr>
          <w:rFonts w:ascii="Cambria" w:cs="Cambria" w:eastAsia="Cambria" w:hAnsi="Cambria"/>
          <w:sz w:val="22"/>
          <w:szCs w:val="22"/>
        </w:rPr>
        <w:t xml:space="preserve">Versioned — entries tied to a specific artifact version (model hash, state machine version). MUST be invalidated when the artifact is superseded.</w:t>
      </w:r>
    </w:p>
    <w:p>
      <w:pPr>
        <w:pStyle w:val="ListParagraph"/>
        <w:numPr>
          <w:ilvl w:val="0"/>
          <w:numId w:val="2"/>
        </w:numPr>
        <w:spacing w:after="80" w:line="280"/>
      </w:pPr>
      <w:r>
        <w:rPr>
          <w:rFonts w:ascii="Cambria" w:cs="Cambria" w:eastAsia="Cambria" w:hAnsi="Cambria"/>
          <w:sz w:val="22"/>
          <w:szCs w:val="22"/>
        </w:rPr>
        <w:t xml:space="preserve">TTL — time-bounded freshness. MUST carry an explicit expiry timestamp.</w:t>
      </w:r>
    </w:p>
    <w:p>
      <w:pPr>
        <w:pStyle w:val="Heading2"/>
        <w:spacing w:after="140" w:before="280"/>
      </w:pPr>
      <w:r>
        <w:rPr>
          <w:rFonts w:ascii="Cambria" w:cs="Cambria" w:eastAsia="Cambria" w:hAnsi="Cambria"/>
          <w:b/>
          <w:bCs/>
          <w:sz w:val="26"/>
          <w:szCs w:val="26"/>
        </w:rPr>
        <w:t xml:space="preserve">5.2. Key Construction</w:t>
      </w:r>
    </w:p>
    <w:p>
      <w:pPr>
        <w:spacing w:after="120" w:line="280"/>
        <w:jc w:val="both"/>
      </w:pPr>
      <w:r>
        <w:rPr>
          <w:rFonts w:ascii="Cambria" w:cs="Cambria" w:eastAsia="Cambria" w:hAnsi="Cambria"/>
          <w:sz w:val="22"/>
          <w:szCs w:val="22"/>
        </w:rPr>
        <w:t xml:space="preserve">Cache keys MUST be content-addressed. The canonical form is:</w:t>
      </w:r>
    </w:p>
    <w:p>
      <w:pPr>
        <w:shd w:fill="F4F4F4" w:val="clear"/>
        <w:spacing w:after="140" w:before="100" w:line="260"/>
        <w:jc w:val="left"/>
      </w:pPr>
      <w:r>
        <w:rPr>
          <w:rFonts w:ascii="Consolas" w:cs="Consolas" w:eastAsia="Consolas" w:hAnsi="Consolas"/>
          <w:sz w:val="18"/>
          <w:szCs w:val="18"/>
        </w:rPr>
        <w:t xml:space="preserve">key = H( query_type_uri || canonicalize(query_payload) )
where:
  H              = SHA-256 (REQUIRED minimum)
  canonicalize() = type-specific normalization producing a
                   bit-identical representation across nodes.</w:t>
      </w:r>
    </w:p>
    <w:p>
      <w:pPr>
        <w:spacing w:after="120" w:line="280"/>
        <w:jc w:val="both"/>
      </w:pPr>
      <w:r>
        <w:rPr>
          <w:rFonts w:ascii="Cambria" w:cs="Cambria" w:eastAsia="Cambria" w:hAnsi="Cambria"/>
          <w:sz w:val="22"/>
          <w:szCs w:val="22"/>
        </w:rPr>
        <w:t xml:space="preserve">Canonicalization MUST be specified per query type and MUST be reproducible. Implementations that fail to canonicalize identically across nodes will produce divergent cache hit rates and SHOULD be detectable through reputation mechanisms (Section 10.4).</w:t>
      </w:r>
    </w:p>
    <w:p>
      <w:pPr>
        <w:pStyle w:val="Heading2"/>
        <w:spacing w:after="140" w:before="280"/>
      </w:pPr>
      <w:r>
        <w:rPr>
          <w:rFonts w:ascii="Cambria" w:cs="Cambria" w:eastAsia="Cambria" w:hAnsi="Cambria"/>
          <w:b/>
          <w:bCs/>
          <w:sz w:val="26"/>
          <w:szCs w:val="26"/>
        </w:rPr>
        <w:t xml:space="preserve">5.3. Eviction</w:t>
      </w:r>
    </w:p>
    <w:p>
      <w:pPr>
        <w:spacing w:after="120" w:line="280"/>
        <w:jc w:val="both"/>
      </w:pPr>
      <w:r>
        <w:rPr>
          <w:rFonts w:ascii="Cambria" w:cs="Cambria" w:eastAsia="Cambria" w:hAnsi="Cambria"/>
          <w:sz w:val="22"/>
          <w:szCs w:val="22"/>
        </w:rPr>
        <w:t xml:space="preserve">Eviction policy is implementation-defined but MUST NOT evict from the immutable class. Versioned and TTL classes MAY use any policy (LRU, LFU, ARC). The eviction policy MUST be documented in the capability descriptor.</w:t>
      </w:r>
    </w:p>
    <w:p>
      <w:pPr>
        <w:pStyle w:val="Heading2"/>
        <w:spacing w:after="140" w:before="280"/>
      </w:pPr>
      <w:r>
        <w:rPr>
          <w:rFonts w:ascii="Cambria" w:cs="Cambria" w:eastAsia="Cambria" w:hAnsi="Cambria"/>
          <w:b/>
          <w:bCs/>
          <w:sz w:val="26"/>
          <w:szCs w:val="26"/>
        </w:rPr>
        <w:t xml:space="preserve">5.4. Cache Promotion (the central learning loop)</w:t>
      </w:r>
    </w:p>
    <w:p>
      <w:pPr>
        <w:spacing w:after="120" w:line="280"/>
        <w:jc w:val="both"/>
      </w:pPr>
      <w:r>
        <w:rPr>
          <w:rFonts w:ascii="Cambria" w:cs="Cambria" w:eastAsia="Cambria" w:hAnsi="Cambria"/>
          <w:sz w:val="22"/>
          <w:szCs w:val="22"/>
        </w:rPr>
        <w:t xml:space="preserve">Every successful resolution at T2, T3, or T4 is a candidate for T1 promotion. Promotion criteria:</w:t>
      </w:r>
    </w:p>
    <w:p>
      <w:pPr>
        <w:pStyle w:val="ListParagraph"/>
        <w:numPr>
          <w:ilvl w:val="0"/>
          <w:numId w:val="2"/>
        </w:numPr>
        <w:spacing w:after="80" w:line="280"/>
      </w:pPr>
      <w:r>
        <w:rPr>
          <w:rFonts w:ascii="Cambria" w:cs="Cambria" w:eastAsia="Cambria" w:hAnsi="Cambria"/>
          <w:sz w:val="22"/>
          <w:szCs w:val="22"/>
        </w:rPr>
        <w:t xml:space="preserve">The query type MUST be marked promotable in its registration.</w:t>
      </w:r>
    </w:p>
    <w:p>
      <w:pPr>
        <w:pStyle w:val="ListParagraph"/>
        <w:numPr>
          <w:ilvl w:val="0"/>
          <w:numId w:val="2"/>
        </w:numPr>
        <w:spacing w:after="80" w:line="280"/>
      </w:pPr>
      <w:r>
        <w:rPr>
          <w:rFonts w:ascii="Cambria" w:cs="Cambria" w:eastAsia="Cambria" w:hAnsi="Cambria"/>
          <w:sz w:val="22"/>
          <w:szCs w:val="22"/>
        </w:rPr>
        <w:t xml:space="preserve">The result MUST be deterministic given the input (which excludes most T4 generations except those constrained to structured output with fixed seed).</w:t>
      </w:r>
    </w:p>
    <w:p>
      <w:pPr>
        <w:pStyle w:val="ListParagraph"/>
        <w:numPr>
          <w:ilvl w:val="0"/>
          <w:numId w:val="2"/>
        </w:numPr>
        <w:spacing w:after="80" w:line="280"/>
      </w:pPr>
      <w:r>
        <w:rPr>
          <w:rFonts w:ascii="Cambria" w:cs="Cambria" w:eastAsia="Cambria" w:hAnsi="Cambria"/>
          <w:sz w:val="22"/>
          <w:szCs w:val="22"/>
        </w:rPr>
        <w:t xml:space="preserve">Confidence MUST equal or exceed the type's promotion threshold (typically higher than the resolution threshold).</w:t>
      </w:r>
    </w:p>
    <w:p>
      <w:pPr>
        <w:spacing w:after="120" w:line="280"/>
        <w:jc w:val="both"/>
      </w:pPr>
      <w:r>
        <w:rPr>
          <w:rFonts w:ascii="Cambria" w:cs="Cambria" w:eastAsia="Cambria" w:hAnsi="Cambria"/>
          <w:sz w:val="22"/>
          <w:szCs w:val="22"/>
        </w:rPr>
        <w:t xml:space="preserve">Cache promotion is the mechanism by which the substrate becomes cheaper as it is used. It MUST be implemented; an EOC node without cache promotion is non-conformant.</w:t>
      </w:r>
    </w:p>
    <w:p>
      <w:pPr>
        <w:pStyle w:val="Heading1"/>
        <w:pageBreakBefore/>
        <w:spacing w:after="180" w:before="0"/>
      </w:pPr>
      <w:r>
        <w:rPr>
          <w:rFonts w:ascii="Cambria" w:cs="Cambria" w:eastAsia="Cambria" w:hAnsi="Cambria"/>
          <w:b/>
          <w:bCs/>
          <w:sz w:val="30"/>
          <w:szCs w:val="30"/>
        </w:rPr>
        <w:t xml:space="preserve">6. T2 — Deterministic Substrate</w:t>
      </w:r>
    </w:p>
    <w:p>
      <w:pPr>
        <w:spacing w:after="120" w:line="280"/>
        <w:jc w:val="both"/>
      </w:pPr>
      <w:r>
        <w:rPr>
          <w:rFonts w:ascii="Cambria" w:cs="Cambria" w:eastAsia="Cambria" w:hAnsi="Cambria"/>
          <w:sz w:val="22"/>
          <w:szCs w:val="22"/>
        </w:rPr>
        <w:t xml:space="preserve">T2 is where the majority of economically valuable work resolves. It is composed of two interlocking primitives: an Entity-Component-System runtime, and a hierarchical state machine engine.</w:t>
      </w:r>
    </w:p>
    <w:p>
      <w:pPr>
        <w:pStyle w:val="Heading2"/>
        <w:spacing w:after="140" w:before="280"/>
      </w:pPr>
      <w:r>
        <w:rPr>
          <w:rFonts w:ascii="Cambria" w:cs="Cambria" w:eastAsia="Cambria" w:hAnsi="Cambria"/>
          <w:b/>
          <w:bCs/>
          <w:sz w:val="26"/>
          <w:szCs w:val="26"/>
        </w:rPr>
        <w:t xml:space="preserve">6.1. ECS Runtime</w:t>
      </w:r>
    </w:p>
    <w:p>
      <w:pPr>
        <w:spacing w:after="120" w:line="280"/>
        <w:jc w:val="both"/>
      </w:pPr>
      <w:r>
        <w:rPr>
          <w:rFonts w:ascii="Cambria" w:cs="Cambria" w:eastAsia="Cambria" w:hAnsi="Cambria"/>
          <w:sz w:val="22"/>
          <w:szCs w:val="22"/>
        </w:rPr>
        <w:t xml:space="preserve">T2 implementations MUST provide an ECS runtime conforming to the following:</w:t>
      </w:r>
    </w:p>
    <w:p>
      <w:pPr>
        <w:pStyle w:val="ListParagraph"/>
        <w:numPr>
          <w:ilvl w:val="0"/>
          <w:numId w:val="2"/>
        </w:numPr>
        <w:spacing w:after="80" w:line="280"/>
      </w:pPr>
      <w:r>
        <w:rPr>
          <w:rFonts w:ascii="Cambria" w:cs="Cambria" w:eastAsia="Cambria" w:hAnsi="Cambria"/>
          <w:sz w:val="22"/>
          <w:szCs w:val="22"/>
        </w:rPr>
        <w:t xml:space="preserve">Entities are opaque identifiers carrying no behavior.</w:t>
      </w:r>
    </w:p>
    <w:p>
      <w:pPr>
        <w:pStyle w:val="ListParagraph"/>
        <w:numPr>
          <w:ilvl w:val="0"/>
          <w:numId w:val="2"/>
        </w:numPr>
        <w:spacing w:after="80" w:line="280"/>
      </w:pPr>
      <w:r>
        <w:rPr>
          <w:rFonts w:ascii="Cambria" w:cs="Cambria" w:eastAsia="Cambria" w:hAnsi="Cambria"/>
          <w:sz w:val="22"/>
          <w:szCs w:val="22"/>
        </w:rPr>
        <w:t xml:space="preserve">Components are typed data records. The component type registry is the same registry used for query type tags (Section 4.1).</w:t>
      </w:r>
    </w:p>
    <w:p>
      <w:pPr>
        <w:pStyle w:val="ListParagraph"/>
        <w:numPr>
          <w:ilvl w:val="0"/>
          <w:numId w:val="2"/>
        </w:numPr>
        <w:spacing w:after="80" w:line="280"/>
      </w:pPr>
      <w:r>
        <w:rPr>
          <w:rFonts w:ascii="Cambria" w:cs="Cambria" w:eastAsia="Cambria" w:hAnsi="Cambria"/>
          <w:sz w:val="22"/>
          <w:szCs w:val="22"/>
        </w:rPr>
        <w:t xml:space="preserve">Systems are pure functions over component sets. Systems MUST be deterministic, MUST declare their read and write component sets statically, and MUST be schedulable in parallel where their declared sets are disjoint.</w:t>
      </w:r>
    </w:p>
    <w:p>
      <w:pPr>
        <w:pStyle w:val="Heading2"/>
        <w:spacing w:after="140" w:before="280"/>
      </w:pPr>
      <w:r>
        <w:rPr>
          <w:rFonts w:ascii="Cambria" w:cs="Cambria" w:eastAsia="Cambria" w:hAnsi="Cambria"/>
          <w:b/>
          <w:bCs/>
          <w:sz w:val="26"/>
          <w:szCs w:val="26"/>
        </w:rPr>
        <w:t xml:space="preserve">6.2. State Machines</w:t>
      </w:r>
    </w:p>
    <w:p>
      <w:pPr>
        <w:spacing w:after="120" w:line="280"/>
        <w:jc w:val="both"/>
      </w:pPr>
      <w:r>
        <w:rPr>
          <w:rFonts w:ascii="Cambria" w:cs="Cambria" w:eastAsia="Cambria" w:hAnsi="Cambria"/>
          <w:sz w:val="22"/>
          <w:szCs w:val="22"/>
        </w:rPr>
        <w:t xml:space="preserve">Non-trivial T2 capabilities MUST be expressed as hierarchical finite state machines (Harel statecharts). The rationale:</w:t>
      </w:r>
    </w:p>
    <w:p>
      <w:pPr>
        <w:pStyle w:val="ListParagraph"/>
        <w:numPr>
          <w:ilvl w:val="0"/>
          <w:numId w:val="2"/>
        </w:numPr>
        <w:spacing w:after="80" w:line="280"/>
      </w:pPr>
      <w:r>
        <w:rPr>
          <w:rFonts w:ascii="Cambria" w:cs="Cambria" w:eastAsia="Cambria" w:hAnsi="Cambria"/>
          <w:sz w:val="22"/>
          <w:szCs w:val="22"/>
        </w:rPr>
        <w:t xml:space="preserve">Bounded states and bounded transitions yield bounded execution time, enabling worst-case latency guarantees.</w:t>
      </w:r>
    </w:p>
    <w:p>
      <w:pPr>
        <w:pStyle w:val="ListParagraph"/>
        <w:numPr>
          <w:ilvl w:val="0"/>
          <w:numId w:val="2"/>
        </w:numPr>
        <w:spacing w:after="80" w:line="280"/>
      </w:pPr>
      <w:r>
        <w:rPr>
          <w:rFonts w:ascii="Cambria" w:cs="Cambria" w:eastAsia="Cambria" w:hAnsi="Cambria"/>
          <w:sz w:val="22"/>
          <w:szCs w:val="22"/>
        </w:rPr>
        <w:t xml:space="preserve">State machines render to diagrams; the entire behavior is reviewable by inspection.</w:t>
      </w:r>
    </w:p>
    <w:p>
      <w:pPr>
        <w:pStyle w:val="ListParagraph"/>
        <w:numPr>
          <w:ilvl w:val="0"/>
          <w:numId w:val="2"/>
        </w:numPr>
        <w:spacing w:after="80" w:line="280"/>
      </w:pPr>
      <w:r>
        <w:rPr>
          <w:rFonts w:ascii="Cambria" w:cs="Cambria" w:eastAsia="Cambria" w:hAnsi="Cambria"/>
          <w:sz w:val="22"/>
          <w:szCs w:val="22"/>
        </w:rPr>
        <w:t xml:space="preserve">Composition is by sub-machine plug-in via defined entry and exit states.</w:t>
      </w:r>
    </w:p>
    <w:p>
      <w:pPr>
        <w:pStyle w:val="ListParagraph"/>
        <w:numPr>
          <w:ilvl w:val="0"/>
          <w:numId w:val="2"/>
        </w:numPr>
        <w:spacing w:after="80" w:line="280"/>
      </w:pPr>
      <w:r>
        <w:rPr>
          <w:rFonts w:ascii="Cambria" w:cs="Cambria" w:eastAsia="Cambria" w:hAnsi="Cambria"/>
          <w:sz w:val="22"/>
          <w:szCs w:val="22"/>
        </w:rPr>
        <w:t xml:space="preserve">Behavior changes are graph diffs, which are mechanically reviewable.</w:t>
      </w:r>
    </w:p>
    <w:p>
      <w:pPr>
        <w:pStyle w:val="Heading2"/>
        <w:spacing w:after="140" w:before="280"/>
      </w:pPr>
      <w:r>
        <w:rPr>
          <w:rFonts w:ascii="Cambria" w:cs="Cambria" w:eastAsia="Cambria" w:hAnsi="Cambria"/>
          <w:b/>
          <w:bCs/>
          <w:sz w:val="26"/>
          <w:szCs w:val="26"/>
        </w:rPr>
        <w:t xml:space="preserve">6.3. State Machine Encoding</w:t>
      </w:r>
    </w:p>
    <w:p>
      <w:pPr>
        <w:spacing w:after="120" w:line="280"/>
        <w:jc w:val="both"/>
      </w:pPr>
      <w:r>
        <w:rPr>
          <w:rFonts w:ascii="Cambria" w:cs="Cambria" w:eastAsia="Cambria" w:hAnsi="Cambria"/>
          <w:sz w:val="22"/>
          <w:szCs w:val="22"/>
        </w:rPr>
        <w:t xml:space="preserve">State machines MUST be authored as data, not as code. The canonical on-disk format is RON or JSON conforming to the schema below. Implementations MAY accept additional formats but MUST accept the canonical form.</w:t>
      </w:r>
    </w:p>
    <w:p>
      <w:pPr>
        <w:shd w:fill="F4F4F4" w:val="clear"/>
        <w:spacing w:after="140" w:before="100" w:line="260"/>
        <w:jc w:val="left"/>
      </w:pPr>
      <w:r>
        <w:rPr>
          <w:rFonts w:ascii="Consolas" w:cs="Consolas" w:eastAsia="Consolas" w:hAnsi="Consolas"/>
          <w:sz w:val="18"/>
          <w:szCs w:val="18"/>
        </w:rPr>
        <w:t xml:space="preserve">{
  "id":      "extract.iso8601_date",
  "version": "1.0.0",
  "states":  ["start", "scanning", "matched", "rejected"],
  "initial": "start",
  "final":   ["matched", "rejected"],
  "transitions": [
    { "from": "start",    "on": "char_digit", "to": "scanning" },
    { "from": "scanning", "on": "valid_iso",  "to": "matched"  },
    { "from": "scanning", "on": "invalid",    "to": "rejected" }
  ],
  "actions": { /* per-transition deterministic effects */ }
}</w:t>
      </w:r>
    </w:p>
    <w:p>
      <w:pPr>
        <w:pStyle w:val="Heading2"/>
        <w:spacing w:after="140" w:before="280"/>
      </w:pPr>
      <w:r>
        <w:rPr>
          <w:rFonts w:ascii="Cambria" w:cs="Cambria" w:eastAsia="Cambria" w:hAnsi="Cambria"/>
          <w:b/>
          <w:bCs/>
          <w:sz w:val="26"/>
          <w:szCs w:val="26"/>
        </w:rPr>
        <w:t xml:space="preserve">6.4. Lift Extraction</w:t>
      </w:r>
    </w:p>
    <w:p>
      <w:pPr>
        <w:spacing w:after="120" w:line="280"/>
        <w:jc w:val="both"/>
      </w:pPr>
      <w:r>
        <w:rPr>
          <w:rFonts w:ascii="Cambria" w:cs="Cambria" w:eastAsia="Cambria" w:hAnsi="Cambria"/>
          <w:sz w:val="22"/>
          <w:szCs w:val="22"/>
        </w:rPr>
        <w:t xml:space="preserve">State machines SHOULD be authorable by extraction from T4 traces. The procedure:</w:t>
      </w:r>
    </w:p>
    <w:p>
      <w:pPr>
        <w:pStyle w:val="ListParagraph"/>
        <w:numPr>
          <w:ilvl w:val="0"/>
          <w:numId w:val="2"/>
        </w:numPr>
        <w:spacing w:after="80" w:line="280"/>
      </w:pPr>
      <w:r>
        <w:rPr>
          <w:rFonts w:ascii="Cambria" w:cs="Cambria" w:eastAsia="Cambria" w:hAnsi="Cambria"/>
          <w:sz w:val="22"/>
          <w:szCs w:val="22"/>
        </w:rPr>
        <w:t xml:space="preserve">Run T4 on a class of queries; log inputs and outputs.</w:t>
      </w:r>
    </w:p>
    <w:p>
      <w:pPr>
        <w:pStyle w:val="ListParagraph"/>
        <w:numPr>
          <w:ilvl w:val="0"/>
          <w:numId w:val="2"/>
        </w:numPr>
        <w:spacing w:after="80" w:line="280"/>
      </w:pPr>
      <w:r>
        <w:rPr>
          <w:rFonts w:ascii="Cambria" w:cs="Cambria" w:eastAsia="Cambria" w:hAnsi="Cambria"/>
          <w:sz w:val="22"/>
          <w:szCs w:val="22"/>
        </w:rPr>
        <w:t xml:space="preserve">Identify deterministic regularities in the input/output mapping.</w:t>
      </w:r>
    </w:p>
    <w:p>
      <w:pPr>
        <w:pStyle w:val="ListParagraph"/>
        <w:numPr>
          <w:ilvl w:val="0"/>
          <w:numId w:val="2"/>
        </w:numPr>
        <w:spacing w:after="80" w:line="280"/>
      </w:pPr>
      <w:r>
        <w:rPr>
          <w:rFonts w:ascii="Cambria" w:cs="Cambria" w:eastAsia="Cambria" w:hAnsi="Cambria"/>
          <w:sz w:val="22"/>
          <w:szCs w:val="22"/>
        </w:rPr>
        <w:t xml:space="preserve">Encode the regularity as a state machine.</w:t>
      </w:r>
    </w:p>
    <w:p>
      <w:pPr>
        <w:pStyle w:val="ListParagraph"/>
        <w:numPr>
          <w:ilvl w:val="0"/>
          <w:numId w:val="2"/>
        </w:numPr>
        <w:spacing w:after="80" w:line="280"/>
      </w:pPr>
      <w:r>
        <w:rPr>
          <w:rFonts w:ascii="Cambria" w:cs="Cambria" w:eastAsia="Cambria" w:hAnsi="Cambria"/>
          <w:sz w:val="22"/>
          <w:szCs w:val="22"/>
        </w:rPr>
        <w:t xml:space="preserve">Register the new state machine; demote the query type's tier sequence to start at T2.</w:t>
      </w:r>
    </w:p>
    <w:p>
      <w:pPr>
        <w:spacing w:after="120" w:line="280"/>
        <w:jc w:val="both"/>
      </w:pPr>
      <w:r>
        <w:rPr>
          <w:rFonts w:ascii="Cambria" w:cs="Cambria" w:eastAsia="Cambria" w:hAnsi="Cambria"/>
          <w:sz w:val="22"/>
          <w:szCs w:val="22"/>
        </w:rPr>
        <w:t xml:space="preserve">This is the second learning loop in the substrate. It progressively reduces T4 invocation for previously-seen patterns.</w:t>
      </w:r>
    </w:p>
    <w:p>
      <w:pPr>
        <w:pStyle w:val="Heading2"/>
        <w:spacing w:after="140" w:before="280"/>
      </w:pPr>
      <w:r>
        <w:rPr>
          <w:rFonts w:ascii="Cambria" w:cs="Cambria" w:eastAsia="Cambria" w:hAnsi="Cambria"/>
          <w:b/>
          <w:bCs/>
          <w:sz w:val="26"/>
          <w:szCs w:val="26"/>
        </w:rPr>
        <w:t xml:space="preserve">6.5. Reusable Component Library</w:t>
      </w:r>
    </w:p>
    <w:p>
      <w:pPr>
        <w:spacing w:after="120" w:line="280"/>
        <w:jc w:val="both"/>
      </w:pPr>
      <w:r>
        <w:rPr>
          <w:rFonts w:ascii="Cambria" w:cs="Cambria" w:eastAsia="Cambria" w:hAnsi="Cambria"/>
          <w:sz w:val="22"/>
          <w:szCs w:val="22"/>
        </w:rPr>
        <w:t xml:space="preserve">Conformant implementations MUST ship with a baseline component library covering at minimum: ISO 8601 date parsing, RFC 5322 email validation, currency normalization, address parsing for at least one major locale, JSON Schema validation, and Unicode normalization. Additional components MAY be loaded as artifacts.</w:t>
      </w:r>
    </w:p>
    <w:p>
      <w:pPr>
        <w:pStyle w:val="Heading1"/>
        <w:pageBreakBefore/>
        <w:spacing w:after="180" w:before="0"/>
      </w:pPr>
      <w:r>
        <w:rPr>
          <w:rFonts w:ascii="Cambria" w:cs="Cambria" w:eastAsia="Cambria" w:hAnsi="Cambria"/>
          <w:b/>
          <w:bCs/>
          <w:sz w:val="30"/>
          <w:szCs w:val="30"/>
        </w:rPr>
        <w:t xml:space="preserve">7. T3 — Coordination and Narrow Specialists</w:t>
      </w:r>
    </w:p>
    <w:p>
      <w:pPr>
        <w:spacing w:after="120" w:line="280"/>
        <w:jc w:val="both"/>
      </w:pPr>
      <w:r>
        <w:rPr>
          <w:rFonts w:ascii="Cambria" w:cs="Cambria" w:eastAsia="Cambria" w:hAnsi="Cambria"/>
          <w:sz w:val="22"/>
          <w:szCs w:val="22"/>
        </w:rPr>
        <w:t xml:space="preserve">T3 is where deterministic systems compose into multi-step flows and where narrow ML models live. Narrow specialists are bounded-output models — typically encoder-only transformers in the 10M–500M parameter range — running at millijoule-scale on CPU.</w:t>
      </w:r>
    </w:p>
    <w:p>
      <w:pPr>
        <w:pStyle w:val="Heading2"/>
        <w:spacing w:after="140" w:before="280"/>
      </w:pPr>
      <w:r>
        <w:rPr>
          <w:rFonts w:ascii="Cambria" w:cs="Cambria" w:eastAsia="Cambria" w:hAnsi="Cambria"/>
          <w:b/>
          <w:bCs/>
          <w:sz w:val="26"/>
          <w:szCs w:val="26"/>
        </w:rPr>
        <w:t xml:space="preserve">7.1. Narrow Specialist Properties</w:t>
      </w:r>
    </w:p>
    <w:p>
      <w:pPr>
        <w:spacing w:after="120" w:line="280"/>
        <w:jc w:val="both"/>
      </w:pPr>
      <w:r>
        <w:rPr>
          <w:rFonts w:ascii="Cambria" w:cs="Cambria" w:eastAsia="Cambria" w:hAnsi="Cambria"/>
          <w:sz w:val="22"/>
          <w:szCs w:val="22"/>
        </w:rPr>
        <w:t xml:space="preserve">A model MAY be classified as a T3 specialist if and only if all of the following hold:</w:t>
      </w:r>
    </w:p>
    <w:p>
      <w:pPr>
        <w:pStyle w:val="ListParagraph"/>
        <w:numPr>
          <w:ilvl w:val="0"/>
          <w:numId w:val="2"/>
        </w:numPr>
        <w:spacing w:after="80" w:line="280"/>
      </w:pPr>
      <w:r>
        <w:rPr>
          <w:rFonts w:ascii="Cambria" w:cs="Cambria" w:eastAsia="Cambria" w:hAnsi="Cambria"/>
          <w:sz w:val="22"/>
          <w:szCs w:val="22"/>
        </w:rPr>
        <w:t xml:space="preserve">Output is bounded — a label from a fixed vocabulary, a vector of fixed dimension, a span within the input, or a small structured record.</w:t>
      </w:r>
    </w:p>
    <w:p>
      <w:pPr>
        <w:pStyle w:val="ListParagraph"/>
        <w:numPr>
          <w:ilvl w:val="0"/>
          <w:numId w:val="2"/>
        </w:numPr>
        <w:spacing w:after="80" w:line="280"/>
      </w:pPr>
      <w:r>
        <w:rPr>
          <w:rFonts w:ascii="Cambria" w:cs="Cambria" w:eastAsia="Cambria" w:hAnsi="Cambria"/>
          <w:sz w:val="22"/>
          <w:szCs w:val="22"/>
        </w:rPr>
        <w:t xml:space="preserve">Inference cost on reference CPU is at most 10 millijoules per invocation at the typical input size for its task class.</w:t>
      </w:r>
    </w:p>
    <w:p>
      <w:pPr>
        <w:pStyle w:val="ListParagraph"/>
        <w:numPr>
          <w:ilvl w:val="0"/>
          <w:numId w:val="2"/>
        </w:numPr>
        <w:spacing w:after="80" w:line="280"/>
      </w:pPr>
      <w:r>
        <w:rPr>
          <w:rFonts w:ascii="Cambria" w:cs="Cambria" w:eastAsia="Cambria" w:hAnsi="Cambria"/>
          <w:sz w:val="22"/>
          <w:szCs w:val="22"/>
        </w:rPr>
        <w:t xml:space="preserve">The model is published with a content hash and reproducible inference spec; outputs are deterministic given the input.</w:t>
      </w:r>
    </w:p>
    <w:p>
      <w:pPr>
        <w:spacing w:after="120" w:line="280"/>
        <w:jc w:val="both"/>
      </w:pPr>
      <w:r>
        <w:rPr>
          <w:rFonts w:ascii="Cambria" w:cs="Cambria" w:eastAsia="Cambria" w:hAnsi="Cambria"/>
          <w:sz w:val="22"/>
          <w:szCs w:val="22"/>
        </w:rPr>
        <w:t xml:space="preserve">Models that fail any of these conditions belong at T4.</w:t>
      </w:r>
    </w:p>
    <w:p>
      <w:pPr>
        <w:pStyle w:val="Heading2"/>
        <w:spacing w:after="140" w:before="280"/>
      </w:pPr>
      <w:r>
        <w:rPr>
          <w:rFonts w:ascii="Cambria" w:cs="Cambria" w:eastAsia="Cambria" w:hAnsi="Cambria"/>
          <w:b/>
          <w:bCs/>
          <w:sz w:val="26"/>
          <w:szCs w:val="26"/>
        </w:rPr>
        <w:t xml:space="preserve">7.2. Composition Contract</w:t>
      </w:r>
    </w:p>
    <w:p>
      <w:pPr>
        <w:spacing w:after="120" w:line="280"/>
        <w:jc w:val="both"/>
      </w:pPr>
      <w:r>
        <w:rPr>
          <w:rFonts w:ascii="Cambria" w:cs="Cambria" w:eastAsia="Cambria" w:hAnsi="Cambria"/>
          <w:sz w:val="22"/>
          <w:szCs w:val="22"/>
        </w:rPr>
        <w:t xml:space="preserve">T3 systems MAY freely invoke T1 and T2. T3 systems MUST NOT invoke T4 directly. Escalation to T4 is the dispatcher's responsibility. This rule prevents accidental "just call the LLM" patterns from creeping back into the substrate via T3 plumbing.</w:t>
      </w:r>
    </w:p>
    <w:p>
      <w:pPr>
        <w:pStyle w:val="Heading2"/>
        <w:spacing w:after="140" w:before="280"/>
      </w:pPr>
      <w:r>
        <w:rPr>
          <w:rFonts w:ascii="Cambria" w:cs="Cambria" w:eastAsia="Cambria" w:hAnsi="Cambria"/>
          <w:b/>
          <w:bCs/>
          <w:sz w:val="26"/>
          <w:szCs w:val="26"/>
        </w:rPr>
        <w:t xml:space="preserve">7.3. Multi-Step Flows</w:t>
      </w:r>
    </w:p>
    <w:p>
      <w:pPr>
        <w:spacing w:after="120" w:line="280"/>
        <w:jc w:val="both"/>
      </w:pPr>
      <w:r>
        <w:rPr>
          <w:rFonts w:ascii="Cambria" w:cs="Cambria" w:eastAsia="Cambria" w:hAnsi="Cambria"/>
          <w:sz w:val="22"/>
          <w:szCs w:val="22"/>
        </w:rPr>
        <w:t xml:space="preserve">T3 multi-step flows MUST be expressed as directed acyclic graphs of T1, T2, and other T3 invocations. Cycles are forbidden at T3 to preserve termination guarantees. Iterative refinement, when required, MUST be modeled as a bounded loop with an explicit iteration cap.</w:t>
      </w:r>
    </w:p>
    <w:p>
      <w:pPr>
        <w:pStyle w:val="Heading1"/>
        <w:pageBreakBefore/>
        <w:spacing w:after="180" w:before="0"/>
      </w:pPr>
      <w:r>
        <w:rPr>
          <w:rFonts w:ascii="Cambria" w:cs="Cambria" w:eastAsia="Cambria" w:hAnsi="Cambria"/>
          <w:b/>
          <w:bCs/>
          <w:sz w:val="30"/>
          <w:szCs w:val="30"/>
        </w:rPr>
        <w:t xml:space="preserve">8. T4 — Neural Escape</w:t>
      </w:r>
    </w:p>
    <w:p>
      <w:pPr>
        <w:spacing w:after="120" w:line="280"/>
        <w:jc w:val="both"/>
      </w:pPr>
      <w:r>
        <w:rPr>
          <w:rFonts w:ascii="Cambria" w:cs="Cambria" w:eastAsia="Cambria" w:hAnsi="Cambria"/>
          <w:sz w:val="22"/>
          <w:szCs w:val="22"/>
        </w:rPr>
        <w:t xml:space="preserve">T4 is the fuzzy-logic escape hatch. It MUST be invoked rarely, and when invoked, it MUST run on hardware accessible to the substrate's deployment target (CPU minimum, GPU optional).</w:t>
      </w:r>
    </w:p>
    <w:p>
      <w:pPr>
        <w:pStyle w:val="Heading2"/>
        <w:spacing w:after="140" w:before="280"/>
      </w:pPr>
      <w:r>
        <w:rPr>
          <w:rFonts w:ascii="Cambria" w:cs="Cambria" w:eastAsia="Cambria" w:hAnsi="Cambria"/>
          <w:b/>
          <w:bCs/>
          <w:sz w:val="26"/>
          <w:szCs w:val="26"/>
        </w:rPr>
        <w:t xml:space="preserve">8.1. CPU-Native Inference</w:t>
      </w:r>
    </w:p>
    <w:p>
      <w:pPr>
        <w:spacing w:after="120" w:line="280"/>
        <w:jc w:val="both"/>
      </w:pPr>
      <w:r>
        <w:rPr>
          <w:rFonts w:ascii="Cambria" w:cs="Cambria" w:eastAsia="Cambria" w:hAnsi="Cambria"/>
          <w:sz w:val="22"/>
          <w:szCs w:val="22"/>
        </w:rPr>
        <w:t xml:space="preserve">Conformant T4 implementations MUST support pure CPU inference. The reference implementation is eLLM (CPU-native, vLLM-API-compatible, Apache 2.0). Alternatives MAY be substituted provided they satisfy:</w:t>
      </w:r>
    </w:p>
    <w:p>
      <w:pPr>
        <w:pStyle w:val="ListParagraph"/>
        <w:numPr>
          <w:ilvl w:val="0"/>
          <w:numId w:val="2"/>
        </w:numPr>
        <w:spacing w:after="80" w:line="280"/>
      </w:pPr>
      <w:r>
        <w:rPr>
          <w:rFonts w:ascii="Cambria" w:cs="Cambria" w:eastAsia="Cambria" w:hAnsi="Cambria"/>
          <w:sz w:val="22"/>
          <w:szCs w:val="22"/>
        </w:rPr>
        <w:t xml:space="preserve">Pure CPU inference path with no GPU dependency.</w:t>
      </w:r>
    </w:p>
    <w:p>
      <w:pPr>
        <w:pStyle w:val="ListParagraph"/>
        <w:numPr>
          <w:ilvl w:val="0"/>
          <w:numId w:val="2"/>
        </w:numPr>
        <w:spacing w:after="80" w:line="280"/>
      </w:pPr>
      <w:r>
        <w:rPr>
          <w:rFonts w:ascii="Cambria" w:cs="Cambria" w:eastAsia="Cambria" w:hAnsi="Cambria"/>
          <w:sz w:val="22"/>
          <w:szCs w:val="22"/>
        </w:rPr>
        <w:t xml:space="preserve">Static or near-static computation graph admitting predictable memory behavior.</w:t>
      </w:r>
    </w:p>
    <w:p>
      <w:pPr>
        <w:pStyle w:val="ListParagraph"/>
        <w:numPr>
          <w:ilvl w:val="0"/>
          <w:numId w:val="2"/>
        </w:numPr>
        <w:spacing w:after="80" w:line="280"/>
      </w:pPr>
      <w:r>
        <w:rPr>
          <w:rFonts w:ascii="Cambria" w:cs="Cambria" w:eastAsia="Cambria" w:hAnsi="Cambria"/>
          <w:sz w:val="22"/>
          <w:szCs w:val="22"/>
        </w:rPr>
        <w:t xml:space="preserve">Open-source license compatible with Apache 2.0 redistribution.</w:t>
      </w:r>
    </w:p>
    <w:p>
      <w:pPr>
        <w:pStyle w:val="ListParagraph"/>
        <w:numPr>
          <w:ilvl w:val="0"/>
          <w:numId w:val="2"/>
        </w:numPr>
        <w:spacing w:after="80" w:line="280"/>
      </w:pPr>
      <w:r>
        <w:rPr>
          <w:rFonts w:ascii="Cambria" w:cs="Cambria" w:eastAsia="Cambria" w:hAnsi="Cambria"/>
          <w:sz w:val="22"/>
          <w:szCs w:val="22"/>
        </w:rPr>
        <w:t xml:space="preserve">Reproducible inference: identical inputs and seed MUST produce identical outputs.</w:t>
      </w:r>
    </w:p>
    <w:p>
      <w:pPr>
        <w:pStyle w:val="Heading2"/>
        <w:spacing w:after="140" w:before="280"/>
      </w:pPr>
      <w:r>
        <w:rPr>
          <w:rFonts w:ascii="Cambria" w:cs="Cambria" w:eastAsia="Cambria" w:hAnsi="Cambria"/>
          <w:b/>
          <w:bCs/>
          <w:sz w:val="26"/>
          <w:szCs w:val="26"/>
        </w:rPr>
        <w:t xml:space="preserve">8.2. Browser Backend Selection</w:t>
      </w:r>
    </w:p>
    <w:p>
      <w:pPr>
        <w:spacing w:after="120" w:line="280"/>
        <w:jc w:val="both"/>
      </w:pPr>
      <w:r>
        <w:rPr>
          <w:rFonts w:ascii="Cambria" w:cs="Cambria" w:eastAsia="Cambria" w:hAnsi="Cambria"/>
          <w:sz w:val="22"/>
          <w:szCs w:val="22"/>
        </w:rPr>
        <w:t xml:space="preserve">For browser deployment, T4 implementations MUST select an execution backend at runtime via feature detection. The required backend hierarchy:</w:t>
      </w:r>
    </w:p>
    <w:p>
      <w:pPr>
        <w:pStyle w:val="ListParagraph"/>
        <w:numPr>
          <w:ilvl w:val="0"/>
          <w:numId w:val="2"/>
        </w:numPr>
        <w:spacing w:after="80" w:line="280"/>
      </w:pPr>
      <w:r>
        <w:rPr>
          <w:rFonts w:ascii="Cambria" w:cs="Cambria" w:eastAsia="Cambria" w:hAnsi="Cambria"/>
          <w:sz w:val="22"/>
          <w:szCs w:val="22"/>
        </w:rPr>
        <w:t xml:space="preserve">Floor (REQUIRED) — WebAssembly with SIMD. Universal availability is the substrate's reach guarantee.</w:t>
      </w:r>
    </w:p>
    <w:p>
      <w:pPr>
        <w:pStyle w:val="ListParagraph"/>
        <w:numPr>
          <w:ilvl w:val="0"/>
          <w:numId w:val="2"/>
        </w:numPr>
        <w:spacing w:after="80" w:line="280"/>
      </w:pPr>
      <w:r>
        <w:rPr>
          <w:rFonts w:ascii="Cambria" w:cs="Cambria" w:eastAsia="Cambria" w:hAnsi="Cambria"/>
          <w:sz w:val="22"/>
          <w:szCs w:val="22"/>
        </w:rPr>
        <w:t xml:space="preserve">Preferred (SHOULD) — WebGPU. Broadly available in modern browsers.</w:t>
      </w:r>
    </w:p>
    <w:p>
      <w:pPr>
        <w:pStyle w:val="ListParagraph"/>
        <w:numPr>
          <w:ilvl w:val="0"/>
          <w:numId w:val="2"/>
        </w:numPr>
        <w:spacing w:after="80" w:line="280"/>
      </w:pPr>
      <w:r>
        <w:rPr>
          <w:rFonts w:ascii="Cambria" w:cs="Cambria" w:eastAsia="Cambria" w:hAnsi="Cambria"/>
          <w:sz w:val="22"/>
          <w:szCs w:val="22"/>
        </w:rPr>
        <w:t xml:space="preserve">Optimal (MAY) — WebNN. Hardware-accelerated; presence not yet uniform.</w:t>
      </w:r>
    </w:p>
    <w:p>
      <w:pPr>
        <w:spacing w:after="120" w:line="280"/>
        <w:jc w:val="both"/>
      </w:pPr>
      <w:r>
        <w:rPr>
          <w:rFonts w:ascii="Cambria" w:cs="Cambria" w:eastAsia="Cambria" w:hAnsi="Cambria"/>
          <w:sz w:val="22"/>
          <w:szCs w:val="22"/>
        </w:rPr>
        <w:t xml:space="preserve">The static computation graph MUST be identical across backends. Only kernel dispatch varies. Backend selection MUST NOT be a build-time decision.</w:t>
      </w:r>
    </w:p>
    <w:p>
      <w:pPr>
        <w:pStyle w:val="Heading2"/>
        <w:spacing w:after="140" w:before="280"/>
      </w:pPr>
      <w:r>
        <w:rPr>
          <w:rFonts w:ascii="Cambria" w:cs="Cambria" w:eastAsia="Cambria" w:hAnsi="Cambria"/>
          <w:b/>
          <w:bCs/>
          <w:sz w:val="26"/>
          <w:szCs w:val="26"/>
        </w:rPr>
        <w:t xml:space="preserve">8.3. Output Logging</w:t>
      </w:r>
    </w:p>
    <w:p>
      <w:pPr>
        <w:spacing w:after="120" w:line="280"/>
        <w:jc w:val="both"/>
      </w:pPr>
      <w:r>
        <w:rPr>
          <w:rFonts w:ascii="Cambria" w:cs="Cambria" w:eastAsia="Cambria" w:hAnsi="Cambria"/>
          <w:sz w:val="22"/>
          <w:szCs w:val="22"/>
        </w:rPr>
        <w:t xml:space="preserve">Every T4 invocation MUST be logged with: input, model artifact hash, seed (if any), output, measured energy, and confidence. The log is the source data for cache promotion (Section 5.4) and lift extraction (Section 6.4). Implementations that omit T4 logging are non-conformant.</w:t>
      </w:r>
    </w:p>
    <w:p>
      <w:pPr>
        <w:pStyle w:val="Heading2"/>
        <w:spacing w:after="140" w:before="280"/>
      </w:pPr>
      <w:r>
        <w:rPr>
          <w:rFonts w:ascii="Cambria" w:cs="Cambria" w:eastAsia="Cambria" w:hAnsi="Cambria"/>
          <w:b/>
          <w:bCs/>
          <w:sz w:val="26"/>
          <w:szCs w:val="26"/>
        </w:rPr>
        <w:t xml:space="preserve">8.4. T4 as Demonstrator</w:t>
      </w:r>
    </w:p>
    <w:p>
      <w:pPr>
        <w:spacing w:after="120" w:line="280"/>
        <w:jc w:val="both"/>
      </w:pPr>
      <w:r>
        <w:rPr>
          <w:rFonts w:ascii="Cambria" w:cs="Cambria" w:eastAsia="Cambria" w:hAnsi="Cambria"/>
          <w:sz w:val="22"/>
          <w:szCs w:val="22"/>
        </w:rPr>
        <w:t xml:space="preserve">The substrate's design intent is that T4 functions as a demonstrator from which T2 and T3 capabilities are progressively lifted. Over the lifetime of a deployment, the share of queries reaching T4 SHOULD decline monotonically for any given workload. Implementations SHOULD expose the T4 share as a first-class operational metric.</w:t>
      </w:r>
    </w:p>
    <w:p>
      <w:pPr>
        <w:pStyle w:val="Heading1"/>
        <w:pageBreakBefore/>
        <w:spacing w:after="180" w:before="0"/>
      </w:pPr>
      <w:r>
        <w:rPr>
          <w:rFonts w:ascii="Cambria" w:cs="Cambria" w:eastAsia="Cambria" w:hAnsi="Cambria"/>
          <w:b/>
          <w:bCs/>
          <w:sz w:val="30"/>
          <w:szCs w:val="30"/>
        </w:rPr>
        <w:t xml:space="preserve">9. Proficiency Standard</w:t>
      </w:r>
    </w:p>
    <w:p>
      <w:pPr>
        <w:spacing w:after="120" w:line="280"/>
        <w:jc w:val="both"/>
      </w:pPr>
      <w:r>
        <w:rPr>
          <w:rFonts w:ascii="Cambria" w:cs="Cambria" w:eastAsia="Cambria" w:hAnsi="Cambria"/>
          <w:sz w:val="22"/>
          <w:szCs w:val="22"/>
        </w:rPr>
        <w:t xml:space="preserve">This section defines the open evaluation standard against which conforming substrate deployments are measured. The standard is task-bounded, energy-paired, and reproducible. It is explicitly not a benchmark in the ARC-AGI sense; it defines a floor of reliable competence at honest energy cost.</w:t>
      </w:r>
    </w:p>
    <w:p>
      <w:pPr>
        <w:pStyle w:val="Heading2"/>
        <w:spacing w:after="140" w:before="280"/>
      </w:pPr>
      <w:r>
        <w:rPr>
          <w:rFonts w:ascii="Cambria" w:cs="Cambria" w:eastAsia="Cambria" w:hAnsi="Cambria"/>
          <w:b/>
          <w:bCs/>
          <w:sz w:val="26"/>
          <w:szCs w:val="26"/>
        </w:rPr>
        <w:t xml:space="preserve">9.1. Design Principles</w:t>
      </w:r>
    </w:p>
    <w:p>
      <w:pPr>
        <w:pStyle w:val="ListParagraph"/>
        <w:numPr>
          <w:ilvl w:val="0"/>
          <w:numId w:val="2"/>
        </w:numPr>
        <w:spacing w:after="80" w:line="280"/>
      </w:pPr>
      <w:r>
        <w:rPr>
          <w:rFonts w:ascii="Cambria" w:cs="Cambria" w:eastAsia="Cambria" w:hAnsi="Cambria"/>
          <w:sz w:val="22"/>
          <w:szCs w:val="22"/>
        </w:rPr>
        <w:t xml:space="preserve">Floor, not ceiling. Defines minimum reliable competence on representative work, not maximum theoretical capability on adversarial tasks.</w:t>
      </w:r>
    </w:p>
    <w:p>
      <w:pPr>
        <w:pStyle w:val="ListParagraph"/>
        <w:numPr>
          <w:ilvl w:val="0"/>
          <w:numId w:val="2"/>
        </w:numPr>
        <w:spacing w:after="80" w:line="280"/>
      </w:pPr>
      <w:r>
        <w:rPr>
          <w:rFonts w:ascii="Cambria" w:cs="Cambria" w:eastAsia="Cambria" w:hAnsi="Cambria"/>
          <w:sz w:val="22"/>
          <w:szCs w:val="22"/>
        </w:rPr>
        <w:t xml:space="preserve">Task-bounded. Proficiency is per task class, never a single global score.</w:t>
      </w:r>
    </w:p>
    <w:p>
      <w:pPr>
        <w:pStyle w:val="ListParagraph"/>
        <w:numPr>
          <w:ilvl w:val="0"/>
          <w:numId w:val="2"/>
        </w:numPr>
        <w:spacing w:after="80" w:line="280"/>
      </w:pPr>
      <w:r>
        <w:rPr>
          <w:rFonts w:ascii="Cambria" w:cs="Cambria" w:eastAsia="Cambria" w:hAnsi="Cambria"/>
          <w:sz w:val="22"/>
          <w:szCs w:val="22"/>
        </w:rPr>
        <w:t xml:space="preserve">Energy-paired. Each proficiency tier carries an energy envelope. Passing the floor at lower energy is strictly better than passing it at higher energy.</w:t>
      </w:r>
    </w:p>
    <w:p>
      <w:pPr>
        <w:pStyle w:val="ListParagraph"/>
        <w:numPr>
          <w:ilvl w:val="0"/>
          <w:numId w:val="2"/>
        </w:numPr>
        <w:spacing w:after="80" w:line="280"/>
      </w:pPr>
      <w:r>
        <w:rPr>
          <w:rFonts w:ascii="Cambria" w:cs="Cambria" w:eastAsia="Cambria" w:hAnsi="Cambria"/>
          <w:sz w:val="22"/>
          <w:szCs w:val="22"/>
        </w:rPr>
        <w:t xml:space="preserve">Reproducible. Eval corpora MUST be open. Anyone MUST be able to run the eval on any hardware and publish a signed certificate.</w:t>
      </w:r>
    </w:p>
    <w:p>
      <w:pPr>
        <w:pStyle w:val="Heading2"/>
        <w:spacing w:after="140" w:before="280"/>
      </w:pPr>
      <w:r>
        <w:rPr>
          <w:rFonts w:ascii="Cambria" w:cs="Cambria" w:eastAsia="Cambria" w:hAnsi="Cambria"/>
          <w:b/>
          <w:bCs/>
          <w:sz w:val="26"/>
          <w:szCs w:val="26"/>
        </w:rPr>
        <w:t xml:space="preserve">9.2. Proficiency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280"/>
        <w:gridCol w:w="2280"/>
      </w:tblGrid>
      <w:tr>
        <w:trPr>
          <w:tblHeader/>
        </w:trPr>
        <w:tc>
          <w:tcPr>
            <w:tcW w:type="dxa" w:w="15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Tier</w:t>
            </w:r>
          </w:p>
        </w:tc>
        <w:tc>
          <w:tcPr>
            <w:tcW w:type="dxa" w:w="33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Task Classes</w:t>
            </w:r>
          </w:p>
        </w:tc>
        <w:tc>
          <w:tcPr>
            <w:tcW w:type="dxa" w:w="228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Reliability Floor</w:t>
            </w:r>
          </w:p>
        </w:tc>
        <w:tc>
          <w:tcPr>
            <w:tcW w:type="dxa" w:w="228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Energy Envelope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P1 — Routine</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Extraction, classification, validation, format conversion, lookup, simple arithmetic</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99% pass on eval corpus</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0.1 J / task</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P2 — Working</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Summarization, drafting, translation, structured generation, multi-step deterministic reasoning</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95% pass on eval corpus</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5 J / task</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P3 — Adaptive</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Fuzzy understanding, novel synthesis, multi-turn reasoning over open-ended input</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85% pass on eval corpus</w:t>
            </w:r>
          </w:p>
        </w:tc>
        <w:tc>
          <w:tcPr>
            <w:tcW w:type="dxa" w:w="22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 50 J / task</w:t>
            </w:r>
          </w:p>
        </w:tc>
      </w:tr>
    </w:tbl>
    <w:p>
      <w:pPr>
        <w:spacing w:after="120" w:line="280"/>
        <w:jc w:val="both"/>
      </w:pPr>
      <w:r>
        <w:rPr>
          <w:rFonts w:ascii="Cambria" w:cs="Cambria" w:eastAsia="Cambria" w:hAnsi="Cambria"/>
          <w:sz w:val="22"/>
          <w:szCs w:val="22"/>
        </w:rPr>
        <w:t xml:space="preserve"/>
      </w:r>
    </w:p>
    <w:p>
      <w:pPr>
        <w:spacing w:after="120" w:line="280"/>
        <w:jc w:val="both"/>
      </w:pPr>
      <w:r>
        <w:rPr>
          <w:rFonts w:ascii="Cambria" w:cs="Cambria" w:eastAsia="Cambria" w:hAnsi="Cambria"/>
          <w:b/>
          <w:bCs/>
          <w:sz w:val="22"/>
          <w:szCs w:val="22"/>
        </w:rPr>
        <w:t xml:space="preserve">Table 2.</w:t>
      </w:r>
      <w:r>
        <w:rPr>
          <w:rFonts w:ascii="Cambria" w:cs="Cambria" w:eastAsia="Cambria" w:hAnsi="Cambria"/>
          <w:sz w:val="22"/>
          <w:szCs w:val="22"/>
        </w:rPr>
        <w:t xml:space="preserve"> Proficiency tiers and energy envelopes. Numerical values are working targets pending corpus calibration.</w:t>
      </w:r>
    </w:p>
    <w:p>
      <w:pPr>
        <w:pStyle w:val="Heading2"/>
        <w:spacing w:after="140" w:before="280"/>
      </w:pPr>
      <w:r>
        <w:rPr>
          <w:rFonts w:ascii="Cambria" w:cs="Cambria" w:eastAsia="Cambria" w:hAnsi="Cambria"/>
          <w:b/>
          <w:bCs/>
          <w:sz w:val="26"/>
          <w:szCs w:val="26"/>
        </w:rPr>
        <w:t xml:space="preserve">9.3. Reference Hardware</w:t>
      </w:r>
    </w:p>
    <w:p>
      <w:pPr>
        <w:spacing w:after="120" w:line="280"/>
        <w:jc w:val="both"/>
      </w:pPr>
      <w:r>
        <w:rPr>
          <w:rFonts w:ascii="Cambria" w:cs="Cambria" w:eastAsia="Cambria" w:hAnsi="Cambria"/>
          <w:sz w:val="22"/>
          <w:szCs w:val="22"/>
        </w:rPr>
        <w:t xml:space="preserve">Energy envelopes are denominated against reference hardware to permit comparison. The initial reference is: a single-socket Intel Xeon-class CPU with AMX support, DDR5 memory, no GPU. Implementations MAY publish certificates for additional reference platforms; the canonical reference platform MUST be reported alongside any certificate.</w:t>
      </w:r>
    </w:p>
    <w:p>
      <w:pPr>
        <w:pStyle w:val="Heading2"/>
        <w:spacing w:after="140" w:before="280"/>
      </w:pPr>
      <w:r>
        <w:rPr>
          <w:rFonts w:ascii="Cambria" w:cs="Cambria" w:eastAsia="Cambria" w:hAnsi="Cambria"/>
          <w:b/>
          <w:bCs/>
          <w:sz w:val="26"/>
          <w:szCs w:val="26"/>
        </w:rPr>
        <w:t xml:space="preserve">9.4. Eval Corpus Requirements</w:t>
      </w:r>
    </w:p>
    <w:p>
      <w:pPr>
        <w:spacing w:after="120" w:line="280"/>
        <w:jc w:val="both"/>
      </w:pPr>
      <w:r>
        <w:rPr>
          <w:rFonts w:ascii="Cambria" w:cs="Cambria" w:eastAsia="Cambria" w:hAnsi="Cambria"/>
          <w:sz w:val="22"/>
          <w:szCs w:val="22"/>
        </w:rPr>
        <w:t xml:space="preserve">Conformant proficiency evaluations MUST satisfy:</w:t>
      </w:r>
    </w:p>
    <w:p>
      <w:pPr>
        <w:pStyle w:val="ListParagraph"/>
        <w:numPr>
          <w:ilvl w:val="0"/>
          <w:numId w:val="2"/>
        </w:numPr>
        <w:spacing w:after="80" w:line="280"/>
      </w:pPr>
      <w:r>
        <w:rPr>
          <w:rFonts w:ascii="Cambria" w:cs="Cambria" w:eastAsia="Cambria" w:hAnsi="Cambria"/>
          <w:sz w:val="22"/>
          <w:szCs w:val="22"/>
        </w:rPr>
        <w:t xml:space="preserve">Open corpus — task instances and rubrics published under a permissive license.</w:t>
      </w:r>
    </w:p>
    <w:p>
      <w:pPr>
        <w:pStyle w:val="ListParagraph"/>
        <w:numPr>
          <w:ilvl w:val="0"/>
          <w:numId w:val="2"/>
        </w:numPr>
        <w:spacing w:after="80" w:line="280"/>
      </w:pPr>
      <w:r>
        <w:rPr>
          <w:rFonts w:ascii="Cambria" w:cs="Cambria" w:eastAsia="Cambria" w:hAnsi="Cambria"/>
          <w:sz w:val="22"/>
          <w:szCs w:val="22"/>
        </w:rPr>
        <w:t xml:space="preserve">Versioned — each corpus carries a content hash and version number.</w:t>
      </w:r>
    </w:p>
    <w:p>
      <w:pPr>
        <w:pStyle w:val="ListParagraph"/>
        <w:numPr>
          <w:ilvl w:val="0"/>
          <w:numId w:val="2"/>
        </w:numPr>
        <w:spacing w:after="80" w:line="280"/>
      </w:pPr>
      <w:r>
        <w:rPr>
          <w:rFonts w:ascii="Cambria" w:cs="Cambria" w:eastAsia="Cambria" w:hAnsi="Cambria"/>
          <w:sz w:val="22"/>
          <w:szCs w:val="22"/>
        </w:rPr>
        <w:t xml:space="preserve">Held-out test set — at least 20% of instances reserved and rotated quarterly to mitigate contamination.</w:t>
      </w:r>
    </w:p>
    <w:p>
      <w:pPr>
        <w:pStyle w:val="ListParagraph"/>
        <w:numPr>
          <w:ilvl w:val="0"/>
          <w:numId w:val="2"/>
        </w:numPr>
        <w:spacing w:after="80" w:line="280"/>
      </w:pPr>
      <w:r>
        <w:rPr>
          <w:rFonts w:ascii="Cambria" w:cs="Cambria" w:eastAsia="Cambria" w:hAnsi="Cambria"/>
          <w:sz w:val="22"/>
          <w:szCs w:val="22"/>
        </w:rPr>
        <w:t xml:space="preserve">Per-task-class rubrics — quality criteria specified per task class, not as a single global metric.</w:t>
      </w:r>
    </w:p>
    <w:p>
      <w:pPr>
        <w:pStyle w:val="ListParagraph"/>
        <w:numPr>
          <w:ilvl w:val="0"/>
          <w:numId w:val="2"/>
        </w:numPr>
        <w:spacing w:after="80" w:line="280"/>
      </w:pPr>
      <w:r>
        <w:rPr>
          <w:rFonts w:ascii="Cambria" w:cs="Cambria" w:eastAsia="Cambria" w:hAnsi="Cambria"/>
          <w:sz w:val="22"/>
          <w:szCs w:val="22"/>
        </w:rPr>
        <w:t xml:space="preserve">Measurement methodology — energy measurement procedure documented, including warm-up, sampling rate, and host-system isolation.</w:t>
      </w:r>
    </w:p>
    <w:p>
      <w:pPr>
        <w:pStyle w:val="Heading2"/>
        <w:spacing w:after="140" w:before="280"/>
      </w:pPr>
      <w:r>
        <w:rPr>
          <w:rFonts w:ascii="Cambria" w:cs="Cambria" w:eastAsia="Cambria" w:hAnsi="Cambria"/>
          <w:b/>
          <w:bCs/>
          <w:sz w:val="26"/>
          <w:szCs w:val="26"/>
        </w:rPr>
        <w:t xml:space="preserve">9.5. Certification</w:t>
      </w:r>
    </w:p>
    <w:p>
      <w:pPr>
        <w:spacing w:after="120" w:line="280"/>
        <w:jc w:val="both"/>
      </w:pPr>
      <w:r>
        <w:rPr>
          <w:rFonts w:ascii="Cambria" w:cs="Cambria" w:eastAsia="Cambria" w:hAnsi="Cambria"/>
          <w:sz w:val="22"/>
          <w:szCs w:val="22"/>
        </w:rPr>
        <w:t xml:space="preserve">A certificate is a signed tuple:</w:t>
      </w:r>
    </w:p>
    <w:p>
      <w:pPr>
        <w:shd w:fill="F4F4F4" w:val="clear"/>
        <w:spacing w:after="140" w:before="100" w:line="260"/>
        <w:jc w:val="left"/>
      </w:pPr>
      <w:r>
        <w:rPr>
          <w:rFonts w:ascii="Consolas" w:cs="Consolas" w:eastAsia="Consolas" w:hAnsi="Consolas"/>
          <w:sz w:val="18"/>
          <w:szCs w:val="18"/>
        </w:rPr>
        <w:t xml:space="preserve">Certificate {
  proficiency_tier:  P1 | P2 | P3,
  task_class:        TaskClassURI,
  reliability:       f32,            // measured pass rate
  energy_per_task:   f32,            // measured joules
  reference_hw:      HardwareSpec,
  corpus_version:    ContentHash,
  artifact_hash:     ContentHash,    // model + state machines
  attester_pubkey:   PublicKey,
  signature:         Signature,
  timestamp:         RFC3339,
}</w:t>
      </w:r>
    </w:p>
    <w:p>
      <w:pPr>
        <w:spacing w:after="120" w:line="280"/>
        <w:jc w:val="both"/>
      </w:pPr>
      <w:r>
        <w:rPr>
          <w:rFonts w:ascii="Cambria" w:cs="Cambria" w:eastAsia="Cambria" w:hAnsi="Cambria"/>
          <w:sz w:val="22"/>
          <w:szCs w:val="22"/>
        </w:rPr>
        <w:t xml:space="preserve">Certificates MAY be issued by any party. Trust in a certificate is the trust extended to the attester. The substrate's reputation mechanism (Section 10.4) provides a means by which attester reliability becomes observable.</w:t>
      </w:r>
    </w:p>
    <w:p>
      <w:pPr>
        <w:pStyle w:val="Heading2"/>
        <w:spacing w:after="140" w:before="280"/>
      </w:pPr>
      <w:r>
        <w:rPr>
          <w:rFonts w:ascii="Cambria" w:cs="Cambria" w:eastAsia="Cambria" w:hAnsi="Cambria"/>
          <w:b/>
          <w:bCs/>
          <w:sz w:val="26"/>
          <w:szCs w:val="26"/>
        </w:rPr>
        <w:t xml:space="preserve">9.6. Anti-Goalpost Clause</w:t>
      </w:r>
    </w:p>
    <w:p>
      <w:pPr>
        <w:spacing w:after="120" w:line="280"/>
        <w:jc w:val="both"/>
      </w:pPr>
      <w:r>
        <w:rPr>
          <w:rFonts w:ascii="Cambria" w:cs="Cambria" w:eastAsia="Cambria" w:hAnsi="Cambria"/>
          <w:sz w:val="22"/>
          <w:szCs w:val="22"/>
        </w:rPr>
        <w:t xml:space="preserve">Proficiency tiers exist to specify a sufficient floor for real work. The standard MUST NOT be revised in the direction of "harder evals to chase higher scores." Revisions SHOULD instead extend coverage (more task classes), tighten envelopes (less energy at the same floor), or improve measurement honesty. Any revision that increases the reliability floor without a corresponding extension or envelope tightening is suspect and SHOULD be rejected by the maintainer process.</w:t>
      </w:r>
    </w:p>
    <w:p>
      <w:pPr>
        <w:pStyle w:val="Heading1"/>
        <w:pageBreakBefore/>
        <w:spacing w:after="180" w:before="0"/>
      </w:pPr>
      <w:r>
        <w:rPr>
          <w:rFonts w:ascii="Cambria" w:cs="Cambria" w:eastAsia="Cambria" w:hAnsi="Cambria"/>
          <w:b/>
          <w:bCs/>
          <w:sz w:val="30"/>
          <w:szCs w:val="30"/>
        </w:rPr>
        <w:t xml:space="preserve">10. Network Layer</w:t>
      </w:r>
    </w:p>
    <w:p>
      <w:pPr>
        <w:spacing w:after="120" w:line="280"/>
        <w:jc w:val="both"/>
      </w:pPr>
      <w:r>
        <w:rPr>
          <w:rFonts w:ascii="Cambria" w:cs="Cambria" w:eastAsia="Cambria" w:hAnsi="Cambria"/>
          <w:sz w:val="22"/>
          <w:szCs w:val="22"/>
        </w:rPr>
        <w:t xml:space="preserve">The network layer specifies how independently operated nodes discover each other, advertise capability, route requests, and establish trust. It is designed under the constraint that no single party — including the protocol's authors — can disable participation.</w:t>
      </w:r>
    </w:p>
    <w:p>
      <w:pPr>
        <w:pStyle w:val="Heading2"/>
        <w:spacing w:after="140" w:before="280"/>
      </w:pPr>
      <w:r>
        <w:rPr>
          <w:rFonts w:ascii="Cambria" w:cs="Cambria" w:eastAsia="Cambria" w:hAnsi="Cambria"/>
          <w:b/>
          <w:bCs/>
          <w:sz w:val="26"/>
          <w:szCs w:val="26"/>
        </w:rPr>
        <w:t xml:space="preserve">10.1. Node Identity</w:t>
      </w:r>
    </w:p>
    <w:p>
      <w:pPr>
        <w:spacing w:after="120" w:line="280"/>
        <w:jc w:val="both"/>
      </w:pPr>
      <w:r>
        <w:rPr>
          <w:rFonts w:ascii="Cambria" w:cs="Cambria" w:eastAsia="Cambria" w:hAnsi="Cambria"/>
          <w:sz w:val="22"/>
          <w:szCs w:val="22"/>
        </w:rPr>
        <w:t xml:space="preserve">Each node MUST be identified by a public key. Identity does not require authority; key generation is sufficient. A node's published name is the public key (or a content-addressed handle derived from it). Long-form names MAY be advertised but MUST NOT be authoritative.</w:t>
      </w:r>
    </w:p>
    <w:p>
      <w:pPr>
        <w:pStyle w:val="Heading2"/>
        <w:spacing w:after="140" w:before="280"/>
      </w:pPr>
      <w:r>
        <w:rPr>
          <w:rFonts w:ascii="Cambria" w:cs="Cambria" w:eastAsia="Cambria" w:hAnsi="Cambria"/>
          <w:b/>
          <w:bCs/>
          <w:sz w:val="26"/>
          <w:szCs w:val="26"/>
        </w:rPr>
        <w:t xml:space="preserve">10.2. Capability Descriptor</w:t>
      </w:r>
    </w:p>
    <w:p>
      <w:pPr>
        <w:spacing w:after="120" w:line="280"/>
        <w:jc w:val="both"/>
      </w:pPr>
      <w:r>
        <w:rPr>
          <w:rFonts w:ascii="Cambria" w:cs="Cambria" w:eastAsia="Cambria" w:hAnsi="Cambria"/>
          <w:sz w:val="22"/>
          <w:szCs w:val="22"/>
        </w:rPr>
        <w:t xml:space="preserve">Each node MUST publish a capability descriptor, signed by its identity key, containing at minimum:</w:t>
      </w:r>
    </w:p>
    <w:p>
      <w:pPr>
        <w:shd w:fill="F4F4F4" w:val="clear"/>
        <w:spacing w:after="140" w:before="100" w:line="260"/>
        <w:jc w:val="left"/>
      </w:pPr>
      <w:r>
        <w:rPr>
          <w:rFonts w:ascii="Consolas" w:cs="Consolas" w:eastAsia="Consolas" w:hAnsi="Consolas"/>
          <w:sz w:val="18"/>
          <w:szCs w:val="18"/>
        </w:rPr>
        <w:t xml:space="preserve">CapabilityDescriptor {
  node_id:           PublicKey,
  protocol_version:  SemVer,
  proficiency:       Vec&lt;Certificate&gt;,    // see Section 9.5
  loaded_artifacts:  Vec&lt;ContentHash&gt;,    // T2 state machines, T3/T4 models
  energy_class:      EnergyClass,         // e.g., "A: &lt;=5J/task @ P2"
  tier_coverage:     [bool; 4],           // which tiers this node serves
  current_load:      Load,                // throttling hint
  geographic_hint:   OPTIONAL String,     // for latency routing
  bootstrap_peers:   Vec&lt;NodeId&gt;,         // last seen healthy
  signature:         Signature,
  timestamp:         RFC3339,
}</w:t>
      </w:r>
    </w:p>
    <w:p>
      <w:pPr>
        <w:spacing w:after="120" w:line="280"/>
        <w:jc w:val="both"/>
      </w:pPr>
      <w:r>
        <w:rPr>
          <w:rFonts w:ascii="Cambria" w:cs="Cambria" w:eastAsia="Cambria" w:hAnsi="Cambria"/>
          <w:sz w:val="22"/>
          <w:szCs w:val="22"/>
        </w:rPr>
        <w:t xml:space="preserve">Capability descriptors MUST be republished at intervals of at most one hour or whenever any field changes, whichever is sooner.</w:t>
      </w:r>
    </w:p>
    <w:p>
      <w:pPr>
        <w:pStyle w:val="Heading2"/>
        <w:spacing w:after="140" w:before="280"/>
      </w:pPr>
      <w:r>
        <w:rPr>
          <w:rFonts w:ascii="Cambria" w:cs="Cambria" w:eastAsia="Cambria" w:hAnsi="Cambria"/>
          <w:b/>
          <w:bCs/>
          <w:sz w:val="26"/>
          <w:szCs w:val="26"/>
        </w:rPr>
        <w:t xml:space="preserve">10.3. Discovery</w:t>
      </w:r>
    </w:p>
    <w:p>
      <w:pPr>
        <w:spacing w:after="120" w:line="280"/>
        <w:jc w:val="both"/>
      </w:pPr>
      <w:r>
        <w:rPr>
          <w:rFonts w:ascii="Cambria" w:cs="Cambria" w:eastAsia="Cambria" w:hAnsi="Cambria"/>
          <w:sz w:val="22"/>
          <w:szCs w:val="22"/>
        </w:rPr>
        <w:t xml:space="preserve">Discovery MUST be gossip-based. Nodes maintain a peer list and exchange capability descriptors with neighbors at protocol-defined intervals. New nodes bootstrap from a configured set of well-known peers; the well-known set is changeable, not authoritative, and the protocol MUST survive loss of any subset of well-known peers as long as at least one healthy peer remains discoverable. Capability descriptors are themselves published in-band by every node, ensuring the bootstrap set self-heals.</w:t>
      </w:r>
    </w:p>
    <w:p>
      <w:pPr>
        <w:pStyle w:val="Heading2"/>
        <w:spacing w:after="140" w:before="280"/>
      </w:pPr>
      <w:r>
        <w:rPr>
          <w:rFonts w:ascii="Cambria" w:cs="Cambria" w:eastAsia="Cambria" w:hAnsi="Cambria"/>
          <w:b/>
          <w:bCs/>
          <w:sz w:val="26"/>
          <w:szCs w:val="26"/>
        </w:rPr>
        <w:t xml:space="preserve">10.4. Trust Without Authority</w:t>
      </w:r>
    </w:p>
    <w:p>
      <w:pPr>
        <w:spacing w:after="120" w:line="280"/>
        <w:jc w:val="both"/>
      </w:pPr>
      <w:r>
        <w:rPr>
          <w:rFonts w:ascii="Cambria" w:cs="Cambria" w:eastAsia="Cambria" w:hAnsi="Cambria"/>
          <w:sz w:val="22"/>
          <w:szCs w:val="22"/>
        </w:rPr>
        <w:t xml:space="preserve">The substrate substitutes for central trust through three composable mechanisms:</w:t>
      </w:r>
    </w:p>
    <w:p>
      <w:pPr>
        <w:pStyle w:val="ListParagraph"/>
        <w:numPr>
          <w:ilvl w:val="0"/>
          <w:numId w:val="2"/>
        </w:numPr>
        <w:spacing w:after="80" w:line="280"/>
      </w:pPr>
      <w:r>
        <w:rPr>
          <w:rFonts w:ascii="Cambria" w:cs="Cambria" w:eastAsia="Cambria" w:hAnsi="Cambria"/>
          <w:sz w:val="22"/>
          <w:szCs w:val="22"/>
        </w:rPr>
        <w:t xml:space="preserve">Reproducible artifacts. Model weights and state machines MUST be content-addressed. A node claiming to run artifact A serves outputs that any other node running A can verify by spot-check. Discrepancy is detectable.</w:t>
      </w:r>
    </w:p>
    <w:p>
      <w:pPr>
        <w:pStyle w:val="ListParagraph"/>
        <w:numPr>
          <w:ilvl w:val="0"/>
          <w:numId w:val="2"/>
        </w:numPr>
        <w:spacing w:after="80" w:line="280"/>
      </w:pPr>
      <w:r>
        <w:rPr>
          <w:rFonts w:ascii="Cambria" w:cs="Cambria" w:eastAsia="Cambria" w:hAnsi="Cambria"/>
          <w:sz w:val="22"/>
          <w:szCs w:val="22"/>
        </w:rPr>
        <w:t xml:space="preserve">Open evals. Proficiency claims (Section 9) MUST be testable by any peer running the open eval. Sustained discrepancy between claimed and observed performance is detectable.</w:t>
      </w:r>
    </w:p>
    <w:p>
      <w:pPr>
        <w:pStyle w:val="ListParagraph"/>
        <w:numPr>
          <w:ilvl w:val="0"/>
          <w:numId w:val="2"/>
        </w:numPr>
        <w:spacing w:after="80" w:line="280"/>
      </w:pPr>
      <w:r>
        <w:rPr>
          <w:rFonts w:ascii="Cambria" w:cs="Cambria" w:eastAsia="Cambria" w:hAnsi="Cambria"/>
          <w:sz w:val="22"/>
          <w:szCs w:val="22"/>
        </w:rPr>
        <w:t xml:space="preserve">Local reputation. Each node MUST maintain a per-peer agreement-rate score. Persistent disagreement degrades reputation in that local view. There is no global reputation registry; reputation is local to each peer's observations. Nodes MAY share reputation but other nodes MUST NOT treat shared reputation as authoritative.</w:t>
      </w:r>
    </w:p>
    <w:p>
      <w:pPr>
        <w:pStyle w:val="Heading2"/>
        <w:spacing w:after="140" w:before="280"/>
      </w:pPr>
      <w:r>
        <w:rPr>
          <w:rFonts w:ascii="Cambria" w:cs="Cambria" w:eastAsia="Cambria" w:hAnsi="Cambria"/>
          <w:b/>
          <w:bCs/>
          <w:sz w:val="26"/>
          <w:szCs w:val="26"/>
        </w:rPr>
        <w:t xml:space="preserve">10.5. Routing</w:t>
      </w:r>
    </w:p>
    <w:p>
      <w:pPr>
        <w:spacing w:after="120" w:line="280"/>
        <w:jc w:val="both"/>
      </w:pPr>
      <w:r>
        <w:rPr>
          <w:rFonts w:ascii="Cambria" w:cs="Cambria" w:eastAsia="Cambria" w:hAnsi="Cambria"/>
          <w:sz w:val="22"/>
          <w:szCs w:val="22"/>
        </w:rPr>
        <w:t xml:space="preserve">Requests MUST be routed by capability match, not by destination address. A client specifies the requirement (e.g., proficiency tier, task class, latency target, energy class) and the network returns a candidate set of nodes whose advertised capability satisfies the requirement. Client selection among candidates MAY consider local reputation, geographic hint, current load, and redundancy preference.</w:t>
      </w:r>
    </w:p>
    <w:p>
      <w:pPr>
        <w:pStyle w:val="Heading2"/>
        <w:spacing w:after="140" w:before="280"/>
      </w:pPr>
      <w:r>
        <w:rPr>
          <w:rFonts w:ascii="Cambria" w:cs="Cambria" w:eastAsia="Cambria" w:hAnsi="Cambria"/>
          <w:b/>
          <w:bCs/>
          <w:sz w:val="26"/>
          <w:szCs w:val="26"/>
        </w:rPr>
        <w:t xml:space="preserve">10.6. Resistance to Off-Switching</w:t>
      </w:r>
    </w:p>
    <w:p>
      <w:pPr>
        <w:spacing w:after="120" w:line="280"/>
        <w:jc w:val="both"/>
      </w:pPr>
      <w:r>
        <w:rPr>
          <w:rFonts w:ascii="Cambria" w:cs="Cambria" w:eastAsia="Cambria" w:hAnsi="Cambria"/>
          <w:sz w:val="22"/>
          <w:szCs w:val="22"/>
        </w:rPr>
        <w:t xml:space="preserve">The substrate has no off switch by construction:</w:t>
      </w:r>
    </w:p>
    <w:p>
      <w:pPr>
        <w:pStyle w:val="ListParagraph"/>
        <w:numPr>
          <w:ilvl w:val="0"/>
          <w:numId w:val="2"/>
        </w:numPr>
        <w:spacing w:after="80" w:line="280"/>
      </w:pPr>
      <w:r>
        <w:rPr>
          <w:rFonts w:ascii="Cambria" w:cs="Cambria" w:eastAsia="Cambria" w:hAnsi="Cambria"/>
          <w:sz w:val="22"/>
          <w:szCs w:val="22"/>
        </w:rPr>
        <w:t xml:space="preserve">All code MUST be open source under a license permitting fork (Apache 2.0 or compatible).</w:t>
      </w:r>
    </w:p>
    <w:p>
      <w:pPr>
        <w:pStyle w:val="ListParagraph"/>
        <w:numPr>
          <w:ilvl w:val="0"/>
          <w:numId w:val="2"/>
        </w:numPr>
        <w:spacing w:after="80" w:line="280"/>
      </w:pPr>
      <w:r>
        <w:rPr>
          <w:rFonts w:ascii="Cambria" w:cs="Cambria" w:eastAsia="Cambria" w:hAnsi="Cambria"/>
          <w:sz w:val="22"/>
          <w:szCs w:val="22"/>
        </w:rPr>
        <w:t xml:space="preserve">All artifacts MUST be content-addressed and redistributable.</w:t>
      </w:r>
    </w:p>
    <w:p>
      <w:pPr>
        <w:pStyle w:val="ListParagraph"/>
        <w:numPr>
          <w:ilvl w:val="0"/>
          <w:numId w:val="2"/>
        </w:numPr>
        <w:spacing w:after="80" w:line="280"/>
      </w:pPr>
      <w:r>
        <w:rPr>
          <w:rFonts w:ascii="Cambria" w:cs="Cambria" w:eastAsia="Cambria" w:hAnsi="Cambria"/>
          <w:sz w:val="22"/>
          <w:szCs w:val="22"/>
        </w:rPr>
        <w:t xml:space="preserve">Identity creation MUST NOT require permission.</w:t>
      </w:r>
    </w:p>
    <w:p>
      <w:pPr>
        <w:pStyle w:val="ListParagraph"/>
        <w:numPr>
          <w:ilvl w:val="0"/>
          <w:numId w:val="2"/>
        </w:numPr>
        <w:spacing w:after="80" w:line="280"/>
      </w:pPr>
      <w:r>
        <w:rPr>
          <w:rFonts w:ascii="Cambria" w:cs="Cambria" w:eastAsia="Cambria" w:hAnsi="Cambria"/>
          <w:sz w:val="22"/>
          <w:szCs w:val="22"/>
        </w:rPr>
        <w:t xml:space="preserve">Discovery MUST NOT require central registry.</w:t>
      </w:r>
    </w:p>
    <w:p>
      <w:pPr>
        <w:pStyle w:val="ListParagraph"/>
        <w:numPr>
          <w:ilvl w:val="0"/>
          <w:numId w:val="2"/>
        </w:numPr>
        <w:spacing w:after="80" w:line="280"/>
      </w:pPr>
      <w:r>
        <w:rPr>
          <w:rFonts w:ascii="Cambria" w:cs="Cambria" w:eastAsia="Cambria" w:hAnsi="Cambria"/>
          <w:sz w:val="22"/>
          <w:szCs w:val="22"/>
        </w:rPr>
        <w:t xml:space="preserve">Trust establishment MUST NOT require central attestation.</w:t>
      </w:r>
    </w:p>
    <w:p>
      <w:pPr>
        <w:pStyle w:val="ListParagraph"/>
        <w:numPr>
          <w:ilvl w:val="0"/>
          <w:numId w:val="2"/>
        </w:numPr>
        <w:spacing w:after="80" w:line="280"/>
      </w:pPr>
      <w:r>
        <w:rPr>
          <w:rFonts w:ascii="Cambria" w:cs="Cambria" w:eastAsia="Cambria" w:hAnsi="Cambria"/>
          <w:sz w:val="22"/>
          <w:szCs w:val="22"/>
        </w:rPr>
        <w:t xml:space="preserve">Protocol evolution MUST be fork-friendly: any operator that disagrees with a proposed change MUST be able to fork the protocol without coordination cost.</w:t>
      </w:r>
    </w:p>
    <w:p>
      <w:pPr>
        <w:spacing w:after="120" w:line="280"/>
        <w:jc w:val="both"/>
      </w:pPr>
      <w:r>
        <w:rPr>
          <w:rFonts w:ascii="Cambria" w:cs="Cambria" w:eastAsia="Cambria" w:hAnsi="Cambria"/>
          <w:sz w:val="22"/>
          <w:szCs w:val="22"/>
        </w:rPr>
        <w:t xml:space="preserve">The protocol survives loss of any single operator, including the protocol's original authors. This is the internet's resilience pattern, applied to inference.</w:t>
      </w:r>
    </w:p>
    <w:p>
      <w:pPr>
        <w:pStyle w:val="Heading1"/>
        <w:pageBreakBefore/>
        <w:spacing w:after="180" w:before="0"/>
      </w:pPr>
      <w:r>
        <w:rPr>
          <w:rFonts w:ascii="Cambria" w:cs="Cambria" w:eastAsia="Cambria" w:hAnsi="Cambria"/>
          <w:b/>
          <w:bCs/>
          <w:sz w:val="30"/>
          <w:szCs w:val="30"/>
        </w:rPr>
        <w:t xml:space="preserve">11. Economic Sustainability</w:t>
      </w:r>
    </w:p>
    <w:p>
      <w:pPr>
        <w:spacing w:after="120" w:line="280"/>
        <w:jc w:val="both"/>
      </w:pPr>
      <w:r>
        <w:rPr>
          <w:rFonts w:ascii="Cambria" w:cs="Cambria" w:eastAsia="Cambria" w:hAnsi="Cambria"/>
          <w:sz w:val="22"/>
          <w:szCs w:val="22"/>
        </w:rPr>
        <w:t xml:space="preserve">This section is informative. The substrate does not mandate a single economic model, but it specifies hooks sufficient to support several.</w:t>
      </w:r>
    </w:p>
    <w:p>
      <w:pPr>
        <w:pStyle w:val="Heading2"/>
        <w:spacing w:after="140" w:before="280"/>
      </w:pPr>
      <w:r>
        <w:rPr>
          <w:rFonts w:ascii="Cambria" w:cs="Cambria" w:eastAsia="Cambria" w:hAnsi="Cambria"/>
          <w:b/>
          <w:bCs/>
          <w:sz w:val="26"/>
          <w:szCs w:val="26"/>
        </w:rPr>
        <w:t xml:space="preserve">11.1. Cost Asymmetry</w:t>
      </w:r>
    </w:p>
    <w:p>
      <w:pPr>
        <w:spacing w:after="120" w:line="280"/>
        <w:jc w:val="both"/>
      </w:pPr>
      <w:r>
        <w:rPr>
          <w:rFonts w:ascii="Cambria" w:cs="Cambria" w:eastAsia="Cambria" w:hAnsi="Cambria"/>
          <w:sz w:val="22"/>
          <w:szCs w:val="22"/>
        </w:rPr>
        <w:t xml:space="preserve">Operating an EOC node carries real cost: electricity, hardware amortization, network egress. Sustained participation requires that some party pays. The substrate's design avoids prescribing who, but it provides hooks for several models to coexist.</w:t>
      </w:r>
    </w:p>
    <w:p>
      <w:pPr>
        <w:pStyle w:val="Heading2"/>
        <w:spacing w:after="140" w:before="280"/>
      </w:pPr>
      <w:r>
        <w:rPr>
          <w:rFonts w:ascii="Cambria" w:cs="Cambria" w:eastAsia="Cambria" w:hAnsi="Cambria"/>
          <w:b/>
          <w:bCs/>
          <w:sz w:val="26"/>
          <w:szCs w:val="26"/>
        </w:rPr>
        <w:t xml:space="preserve">11.2. Supported Economic Models</w:t>
      </w:r>
    </w:p>
    <w:p>
      <w:pPr>
        <w:pStyle w:val="ListParagraph"/>
        <w:numPr>
          <w:ilvl w:val="0"/>
          <w:numId w:val="2"/>
        </w:numPr>
        <w:spacing w:after="80" w:line="280"/>
      </w:pPr>
      <w:r>
        <w:rPr>
          <w:rFonts w:ascii="Cambria" w:cs="Cambria" w:eastAsia="Cambria" w:hAnsi="Cambria"/>
          <w:sz w:val="22"/>
          <w:szCs w:val="22"/>
        </w:rPr>
        <w:t xml:space="preserve">Voluntary (Wikipedia-style) — operators run nodes as a public good. Suitable for low-load deployments and well-resourced participants.</w:t>
      </w:r>
    </w:p>
    <w:p>
      <w:pPr>
        <w:pStyle w:val="ListParagraph"/>
        <w:numPr>
          <w:ilvl w:val="0"/>
          <w:numId w:val="2"/>
        </w:numPr>
        <w:spacing w:after="80" w:line="280"/>
      </w:pPr>
      <w:r>
        <w:rPr>
          <w:rFonts w:ascii="Cambria" w:cs="Cambria" w:eastAsia="Cambria" w:hAnsi="Cambria"/>
          <w:sz w:val="22"/>
          <w:szCs w:val="22"/>
        </w:rPr>
        <w:t xml:space="preserve">Reciprocal (BitTorrent-style) — nodes that serve queries earn credit toward issuing queries. Eliminates the asymmetry between consumers and producers.</w:t>
      </w:r>
    </w:p>
    <w:p>
      <w:pPr>
        <w:pStyle w:val="ListParagraph"/>
        <w:numPr>
          <w:ilvl w:val="0"/>
          <w:numId w:val="2"/>
        </w:numPr>
        <w:spacing w:after="80" w:line="280"/>
      </w:pPr>
      <w:r>
        <w:rPr>
          <w:rFonts w:ascii="Cambria" w:cs="Cambria" w:eastAsia="Cambria" w:hAnsi="Cambria"/>
          <w:sz w:val="22"/>
          <w:szCs w:val="22"/>
        </w:rPr>
        <w:t xml:space="preserve">Transactional (micro-payment) — query issuers pay query servers per resolution. Requires a payment rail; the substrate MUST NOT mandate one.</w:t>
      </w:r>
    </w:p>
    <w:p>
      <w:pPr>
        <w:pStyle w:val="ListParagraph"/>
        <w:numPr>
          <w:ilvl w:val="0"/>
          <w:numId w:val="2"/>
        </w:numPr>
        <w:spacing w:after="80" w:line="280"/>
      </w:pPr>
      <w:r>
        <w:rPr>
          <w:rFonts w:ascii="Cambria" w:cs="Cambria" w:eastAsia="Cambria" w:hAnsi="Cambria"/>
          <w:sz w:val="22"/>
          <w:szCs w:val="22"/>
        </w:rPr>
        <w:t xml:space="preserve">Subsidized (institutional) — universities, governments, foundations operate nodes as infrastructure. Most plausible bootstrap model.</w:t>
      </w:r>
    </w:p>
    <w:p>
      <w:pPr>
        <w:pStyle w:val="Heading2"/>
        <w:spacing w:after="140" w:before="280"/>
      </w:pPr>
      <w:r>
        <w:rPr>
          <w:rFonts w:ascii="Cambria" w:cs="Cambria" w:eastAsia="Cambria" w:hAnsi="Cambria"/>
          <w:b/>
          <w:bCs/>
          <w:sz w:val="26"/>
          <w:szCs w:val="26"/>
        </w:rPr>
        <w:t xml:space="preserve">11.3. Hooks Required</w:t>
      </w:r>
    </w:p>
    <w:p>
      <w:pPr>
        <w:spacing w:after="120" w:line="280"/>
        <w:jc w:val="both"/>
      </w:pPr>
      <w:r>
        <w:rPr>
          <w:rFonts w:ascii="Cambria" w:cs="Cambria" w:eastAsia="Cambria" w:hAnsi="Cambria"/>
          <w:sz w:val="22"/>
          <w:szCs w:val="22"/>
        </w:rPr>
        <w:t xml:space="preserve">To support these models without privileging any, the substrate MUST provide:</w:t>
      </w:r>
    </w:p>
    <w:p>
      <w:pPr>
        <w:pStyle w:val="ListParagraph"/>
        <w:numPr>
          <w:ilvl w:val="0"/>
          <w:numId w:val="2"/>
        </w:numPr>
        <w:spacing w:after="80" w:line="280"/>
      </w:pPr>
      <w:r>
        <w:rPr>
          <w:rFonts w:ascii="Cambria" w:cs="Cambria" w:eastAsia="Cambria" w:hAnsi="Cambria"/>
          <w:sz w:val="22"/>
          <w:szCs w:val="22"/>
        </w:rPr>
        <w:t xml:space="preserve">Per-query accounting — energy cost, tier, resolution time, attester.</w:t>
      </w:r>
    </w:p>
    <w:p>
      <w:pPr>
        <w:pStyle w:val="ListParagraph"/>
        <w:numPr>
          <w:ilvl w:val="0"/>
          <w:numId w:val="2"/>
        </w:numPr>
        <w:spacing w:after="80" w:line="280"/>
      </w:pPr>
      <w:r>
        <w:rPr>
          <w:rFonts w:ascii="Cambria" w:cs="Cambria" w:eastAsia="Cambria" w:hAnsi="Cambria"/>
          <w:sz w:val="22"/>
          <w:szCs w:val="22"/>
        </w:rPr>
        <w:t xml:space="preserve">Verifiable receipts — signed records of completed resolutions.</w:t>
      </w:r>
    </w:p>
    <w:p>
      <w:pPr>
        <w:pStyle w:val="ListParagraph"/>
        <w:numPr>
          <w:ilvl w:val="0"/>
          <w:numId w:val="2"/>
        </w:numPr>
        <w:spacing w:after="80" w:line="280"/>
      </w:pPr>
      <w:r>
        <w:rPr>
          <w:rFonts w:ascii="Cambria" w:cs="Cambria" w:eastAsia="Cambria" w:hAnsi="Cambria"/>
          <w:sz w:val="22"/>
          <w:szCs w:val="22"/>
        </w:rPr>
        <w:t xml:space="preserve">Optional payment metadata in capability descriptors and request envelopes.</w:t>
      </w:r>
    </w:p>
    <w:p>
      <w:pPr>
        <w:spacing w:after="120" w:line="280"/>
        <w:jc w:val="both"/>
      </w:pPr>
      <w:r>
        <w:rPr>
          <w:rFonts w:ascii="Cambria" w:cs="Cambria" w:eastAsia="Cambria" w:hAnsi="Cambria"/>
          <w:sz w:val="22"/>
          <w:szCs w:val="22"/>
        </w:rPr>
        <w:t xml:space="preserve">The substrate MUST NOT itself implement payment processing. Payment is layered over the substrate by parties who choose that model.</w:t>
      </w:r>
    </w:p>
    <w:p>
      <w:pPr>
        <w:pStyle w:val="Heading1"/>
        <w:pageBreakBefore/>
        <w:spacing w:after="180" w:before="0"/>
      </w:pPr>
      <w:r>
        <w:rPr>
          <w:rFonts w:ascii="Cambria" w:cs="Cambria" w:eastAsia="Cambria" w:hAnsi="Cambria"/>
          <w:b/>
          <w:bCs/>
          <w:sz w:val="30"/>
          <w:szCs w:val="30"/>
        </w:rPr>
        <w:t xml:space="preserve">12. Security Considerations</w:t>
      </w:r>
    </w:p>
    <w:p>
      <w:pPr>
        <w:pStyle w:val="Heading2"/>
        <w:spacing w:after="140" w:before="280"/>
      </w:pPr>
      <w:r>
        <w:rPr>
          <w:rFonts w:ascii="Cambria" w:cs="Cambria" w:eastAsia="Cambria" w:hAnsi="Cambria"/>
          <w:b/>
          <w:bCs/>
          <w:sz w:val="26"/>
          <w:szCs w:val="26"/>
        </w:rPr>
        <w:t xml:space="preserve">12.1. Adversarial Nodes</w:t>
      </w:r>
    </w:p>
    <w:p>
      <w:pPr>
        <w:spacing w:after="120" w:line="280"/>
        <w:jc w:val="both"/>
      </w:pPr>
      <w:r>
        <w:rPr>
          <w:rFonts w:ascii="Cambria" w:cs="Cambria" w:eastAsia="Cambria" w:hAnsi="Cambria"/>
          <w:sz w:val="22"/>
          <w:szCs w:val="22"/>
        </w:rPr>
        <w:t xml:space="preserve">A malicious node MAY: lie about its capability, return wrong answers deliberately, attempt prompt injection through query content, or attempt to poison cache promotion at peers. Mitigations:</w:t>
      </w:r>
    </w:p>
    <w:p>
      <w:pPr>
        <w:pStyle w:val="ListParagraph"/>
        <w:numPr>
          <w:ilvl w:val="0"/>
          <w:numId w:val="2"/>
        </w:numPr>
        <w:spacing w:after="80" w:line="280"/>
      </w:pPr>
      <w:r>
        <w:rPr>
          <w:rFonts w:ascii="Cambria" w:cs="Cambria" w:eastAsia="Cambria" w:hAnsi="Cambria"/>
          <w:sz w:val="22"/>
          <w:szCs w:val="22"/>
        </w:rPr>
        <w:t xml:space="preserve">Reproducible artifacts make outputs spot-checkable (Section 10.4).</w:t>
      </w:r>
    </w:p>
    <w:p>
      <w:pPr>
        <w:pStyle w:val="ListParagraph"/>
        <w:numPr>
          <w:ilvl w:val="0"/>
          <w:numId w:val="2"/>
        </w:numPr>
        <w:spacing w:after="80" w:line="280"/>
      </w:pPr>
      <w:r>
        <w:rPr>
          <w:rFonts w:ascii="Cambria" w:cs="Cambria" w:eastAsia="Cambria" w:hAnsi="Cambria"/>
          <w:sz w:val="22"/>
          <w:szCs w:val="22"/>
        </w:rPr>
        <w:t xml:space="preserve">Local reputation degrades disagreement-prone peers without requiring central coordination.</w:t>
      </w:r>
    </w:p>
    <w:p>
      <w:pPr>
        <w:pStyle w:val="ListParagraph"/>
        <w:numPr>
          <w:ilvl w:val="0"/>
          <w:numId w:val="2"/>
        </w:numPr>
        <w:spacing w:after="80" w:line="280"/>
      </w:pPr>
      <w:r>
        <w:rPr>
          <w:rFonts w:ascii="Cambria" w:cs="Cambria" w:eastAsia="Cambria" w:hAnsi="Cambria"/>
          <w:sz w:val="22"/>
          <w:szCs w:val="22"/>
        </w:rPr>
        <w:t xml:space="preserve">Cache promotion thresholds (Section 5.4) reject low-confidence outputs.</w:t>
      </w:r>
    </w:p>
    <w:p>
      <w:pPr>
        <w:pStyle w:val="ListParagraph"/>
        <w:numPr>
          <w:ilvl w:val="0"/>
          <w:numId w:val="2"/>
        </w:numPr>
        <w:spacing w:after="80" w:line="280"/>
      </w:pPr>
      <w:r>
        <w:rPr>
          <w:rFonts w:ascii="Cambria" w:cs="Cambria" w:eastAsia="Cambria" w:hAnsi="Cambria"/>
          <w:sz w:val="22"/>
          <w:szCs w:val="22"/>
        </w:rPr>
        <w:t xml:space="preserve">T4 outputs MUST be sandboxed from T1/T2/T3 internal state. T4 outputs are data, not code.</w:t>
      </w:r>
    </w:p>
    <w:p>
      <w:pPr>
        <w:pStyle w:val="Heading2"/>
        <w:spacing w:after="140" w:before="280"/>
      </w:pPr>
      <w:r>
        <w:rPr>
          <w:rFonts w:ascii="Cambria" w:cs="Cambria" w:eastAsia="Cambria" w:hAnsi="Cambria"/>
          <w:b/>
          <w:bCs/>
          <w:sz w:val="26"/>
          <w:szCs w:val="26"/>
        </w:rPr>
        <w:t xml:space="preserve">12.2. Prompt Injection</w:t>
      </w:r>
    </w:p>
    <w:p>
      <w:pPr>
        <w:spacing w:after="120" w:line="280"/>
        <w:jc w:val="both"/>
      </w:pPr>
      <w:r>
        <w:rPr>
          <w:rFonts w:ascii="Cambria" w:cs="Cambria" w:eastAsia="Cambria" w:hAnsi="Cambria"/>
          <w:sz w:val="22"/>
          <w:szCs w:val="22"/>
        </w:rPr>
        <w:t xml:space="preserve">Adversarial query content attempting to manipulate T4 generation is a known risk. T4 MUST treat all input as untrusted data. T4 outputs MUST NOT be permitted to modify the dispatcher, the tier sequence registry, the cache, or any state machine. Outputs that appear to contain control directives MUST be ignored at the dispatcher level. T4 is downstream of routing, never upstream.</w:t>
      </w:r>
    </w:p>
    <w:p>
      <w:pPr>
        <w:pStyle w:val="Heading2"/>
        <w:spacing w:after="140" w:before="280"/>
      </w:pPr>
      <w:r>
        <w:rPr>
          <w:rFonts w:ascii="Cambria" w:cs="Cambria" w:eastAsia="Cambria" w:hAnsi="Cambria"/>
          <w:b/>
          <w:bCs/>
          <w:sz w:val="26"/>
          <w:szCs w:val="26"/>
        </w:rPr>
        <w:t xml:space="preserve">12.3. Artifact Authenticity</w:t>
      </w:r>
    </w:p>
    <w:p>
      <w:pPr>
        <w:spacing w:after="120" w:line="280"/>
        <w:jc w:val="both"/>
      </w:pPr>
      <w:r>
        <w:rPr>
          <w:rFonts w:ascii="Cambria" w:cs="Cambria" w:eastAsia="Cambria" w:hAnsi="Cambria"/>
          <w:sz w:val="22"/>
          <w:szCs w:val="22"/>
        </w:rPr>
        <w:t xml:space="preserve">All artifacts (model weights, state machines, eval corpora) MUST be content-addressed and signed by a publisher key. Loaders MUST verify both the content hash and the signature before activation. Unsigned or hash-mismatched artifacts MUST be rejected.</w:t>
      </w:r>
    </w:p>
    <w:p>
      <w:pPr>
        <w:pStyle w:val="Heading2"/>
        <w:spacing w:after="140" w:before="280"/>
      </w:pPr>
      <w:r>
        <w:rPr>
          <w:rFonts w:ascii="Cambria" w:cs="Cambria" w:eastAsia="Cambria" w:hAnsi="Cambria"/>
          <w:b/>
          <w:bCs/>
          <w:sz w:val="26"/>
          <w:szCs w:val="26"/>
        </w:rPr>
        <w:t xml:space="preserve">12.4. Eval Capture</w:t>
      </w:r>
    </w:p>
    <w:p>
      <w:pPr>
        <w:spacing w:after="120" w:line="280"/>
        <w:jc w:val="both"/>
      </w:pPr>
      <w:r>
        <w:rPr>
          <w:rFonts w:ascii="Cambria" w:cs="Cambria" w:eastAsia="Cambria" w:hAnsi="Cambria"/>
          <w:sz w:val="22"/>
          <w:szCs w:val="22"/>
        </w:rPr>
        <w:t xml:space="preserve">The most subtle threat is capture of the eval corpus or its governance — a corpus optimized to favor a particular vendor's model is the substrate equivalent of a regulator captured by the regulated. Mitigations:</w:t>
      </w:r>
    </w:p>
    <w:p>
      <w:pPr>
        <w:pStyle w:val="ListParagraph"/>
        <w:numPr>
          <w:ilvl w:val="0"/>
          <w:numId w:val="2"/>
        </w:numPr>
        <w:spacing w:after="80" w:line="280"/>
      </w:pPr>
      <w:r>
        <w:rPr>
          <w:rFonts w:ascii="Cambria" w:cs="Cambria" w:eastAsia="Cambria" w:hAnsi="Cambria"/>
          <w:sz w:val="22"/>
          <w:szCs w:val="22"/>
        </w:rPr>
        <w:t xml:space="preserve">Corpus governance MUST be multi-stakeholder, with maintainership distinct from any vendor implementing the substrate.</w:t>
      </w:r>
    </w:p>
    <w:p>
      <w:pPr>
        <w:pStyle w:val="ListParagraph"/>
        <w:numPr>
          <w:ilvl w:val="0"/>
          <w:numId w:val="2"/>
        </w:numPr>
        <w:spacing w:after="80" w:line="280"/>
      </w:pPr>
      <w:r>
        <w:rPr>
          <w:rFonts w:ascii="Cambria" w:cs="Cambria" w:eastAsia="Cambria" w:hAnsi="Cambria"/>
          <w:sz w:val="22"/>
          <w:szCs w:val="22"/>
        </w:rPr>
        <w:t xml:space="preserve">Held-out test rotation (Section 9.4) limits contamination but does not prevent capture.</w:t>
      </w:r>
    </w:p>
    <w:p>
      <w:pPr>
        <w:pStyle w:val="ListParagraph"/>
        <w:numPr>
          <w:ilvl w:val="0"/>
          <w:numId w:val="2"/>
        </w:numPr>
        <w:spacing w:after="80" w:line="280"/>
      </w:pPr>
      <w:r>
        <w:rPr>
          <w:rFonts w:ascii="Cambria" w:cs="Cambria" w:eastAsia="Cambria" w:hAnsi="Cambria"/>
          <w:sz w:val="22"/>
          <w:szCs w:val="22"/>
        </w:rPr>
        <w:t xml:space="preserve">Forking the corpus MUST be permitted under its license; competing corpora are a feature, not a bug.</w:t>
      </w:r>
    </w:p>
    <w:p>
      <w:pPr>
        <w:pStyle w:val="Heading1"/>
        <w:pageBreakBefore/>
        <w:spacing w:after="180" w:before="0"/>
      </w:pPr>
      <w:r>
        <w:rPr>
          <w:rFonts w:ascii="Cambria" w:cs="Cambria" w:eastAsia="Cambria" w:hAnsi="Cambria"/>
          <w:b/>
          <w:bCs/>
          <w:sz w:val="30"/>
          <w:szCs w:val="30"/>
        </w:rPr>
        <w:t xml:space="preserve">13. Open Issues</w:t>
      </w:r>
    </w:p>
    <w:p>
      <w:pPr>
        <w:spacing w:after="120" w:line="280"/>
        <w:jc w:val="both"/>
      </w:pPr>
      <w:r>
        <w:rPr>
          <w:rFonts w:ascii="Cambria" w:cs="Cambria" w:eastAsia="Cambria" w:hAnsi="Cambria"/>
          <w:sz w:val="22"/>
          <w:szCs w:val="22"/>
        </w:rPr>
        <w:t xml:space="preserve">The following are explicitly unresolved in this draft and are tracked for future revisions.</w:t>
      </w:r>
    </w:p>
    <w:p>
      <w:pPr>
        <w:pStyle w:val="ListParagraph"/>
        <w:numPr>
          <w:ilvl w:val="0"/>
          <w:numId w:val="2"/>
        </w:numPr>
        <w:spacing w:after="80" w:line="280"/>
      </w:pPr>
      <w:r>
        <w:rPr>
          <w:rFonts w:ascii="Cambria" w:cs="Cambria" w:eastAsia="Cambria" w:hAnsi="Cambria"/>
          <w:sz w:val="22"/>
          <w:szCs w:val="22"/>
        </w:rPr>
        <w:t xml:space="preserve">Self-adaptation (the third design goal). Deferred. The substrate is specified as static-artifact-driven; self-modifying network-wide weights are not within the scope of this draft.</w:t>
      </w:r>
    </w:p>
    <w:p>
      <w:pPr>
        <w:pStyle w:val="ListParagraph"/>
        <w:numPr>
          <w:ilvl w:val="0"/>
          <w:numId w:val="2"/>
        </w:numPr>
        <w:spacing w:after="80" w:line="280"/>
      </w:pPr>
      <w:r>
        <w:rPr>
          <w:rFonts w:ascii="Cambria" w:cs="Cambria" w:eastAsia="Cambria" w:hAnsi="Cambria"/>
          <w:sz w:val="22"/>
          <w:szCs w:val="22"/>
        </w:rPr>
        <w:t xml:space="preserve">Browser-vs-server topology balance. Pure-browser nodes maximize decentralization but constrain capability. Mixed topology is anticipated; the precise balance is implementation-defined in this draft.</w:t>
      </w:r>
    </w:p>
    <w:p>
      <w:pPr>
        <w:pStyle w:val="ListParagraph"/>
        <w:numPr>
          <w:ilvl w:val="0"/>
          <w:numId w:val="2"/>
        </w:numPr>
        <w:spacing w:after="80" w:line="280"/>
      </w:pPr>
      <w:r>
        <w:rPr>
          <w:rFonts w:ascii="Cambria" w:cs="Cambria" w:eastAsia="Cambria" w:hAnsi="Cambria"/>
          <w:sz w:val="22"/>
          <w:szCs w:val="22"/>
        </w:rPr>
        <w:t xml:space="preserve">Eval corpus initial seeding. Who maintains the first corpus, and through what process. The most plausible failure mode of the proficiency standard.</w:t>
      </w:r>
    </w:p>
    <w:p>
      <w:pPr>
        <w:pStyle w:val="ListParagraph"/>
        <w:numPr>
          <w:ilvl w:val="0"/>
          <w:numId w:val="2"/>
        </w:numPr>
        <w:spacing w:after="80" w:line="280"/>
      </w:pPr>
      <w:r>
        <w:rPr>
          <w:rFonts w:ascii="Cambria" w:cs="Cambria" w:eastAsia="Cambria" w:hAnsi="Cambria"/>
          <w:sz w:val="22"/>
          <w:szCs w:val="22"/>
        </w:rPr>
        <w:t xml:space="preserve">T1 cross-node cache coherence. Whether and how nodes share cache contents. The current draft permits but does not specify; future revisions MAY define a coherence protocol.</w:t>
      </w:r>
    </w:p>
    <w:p>
      <w:pPr>
        <w:pStyle w:val="ListParagraph"/>
        <w:numPr>
          <w:ilvl w:val="0"/>
          <w:numId w:val="2"/>
        </w:numPr>
        <w:spacing w:after="80" w:line="280"/>
      </w:pPr>
      <w:r>
        <w:rPr>
          <w:rFonts w:ascii="Cambria" w:cs="Cambria" w:eastAsia="Cambria" w:hAnsi="Cambria"/>
          <w:sz w:val="22"/>
          <w:szCs w:val="22"/>
        </w:rPr>
        <w:t xml:space="preserve">Numerical calibration of Table 1 (cost distribution) and Table 2 (proficiency envelopes). Both require empirical work on real corpora and real hardware.</w:t>
      </w:r>
    </w:p>
    <w:p>
      <w:pPr>
        <w:pStyle w:val="Heading1"/>
        <w:pageBreakBefore/>
        <w:spacing w:after="180" w:before="0"/>
      </w:pPr>
      <w:r>
        <w:rPr>
          <w:rFonts w:ascii="Cambria" w:cs="Cambria" w:eastAsia="Cambria" w:hAnsi="Cambria"/>
          <w:b/>
          <w:bCs/>
          <w:sz w:val="30"/>
          <w:szCs w:val="30"/>
        </w:rPr>
        <w:t xml:space="preserve">14. Informative References</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after="120" w:line="280"/>
        <w:jc w:val="both"/>
      </w:pPr>
      <w:r>
        <w:rPr>
          <w:rFonts w:ascii="Cambria" w:cs="Cambria" w:eastAsia="Cambria" w:hAnsi="Cambria"/>
          <w:sz w:val="22"/>
          <w:szCs w:val="22"/>
        </w:rPr>
        <w:t xml:space="preserve">[RFC8174] Leiba, B., "Ambiguity of Uppercase vs Lowercase in RFC 2119 Key Words", BCP 14, RFC 8174, May 2017.</w:t>
      </w:r>
    </w:p>
    <w:p>
      <w:pPr>
        <w:spacing w:after="120" w:line="280"/>
        <w:jc w:val="both"/>
      </w:pPr>
      <w:r>
        <w:rPr>
          <w:rFonts w:ascii="Cambria" w:cs="Cambria" w:eastAsia="Cambria" w:hAnsi="Cambria"/>
          <w:sz w:val="22"/>
          <w:szCs w:val="22"/>
        </w:rPr>
        <w:t xml:space="preserve">[eLLM] Huangfu, Y., "eLLM: Achieving Lossless Million-Token LLM Inference on CPUs Faster Than GPUs", 2025. https://github.com/lucienhuangfu/eLLM</w:t>
      </w:r>
    </w:p>
    <w:p>
      <w:pPr>
        <w:spacing w:after="120" w:line="280"/>
        <w:jc w:val="both"/>
      </w:pPr>
      <w:r>
        <w:rPr>
          <w:rFonts w:ascii="Cambria" w:cs="Cambria" w:eastAsia="Cambria" w:hAnsi="Cambria"/>
          <w:sz w:val="22"/>
          <w:szCs w:val="22"/>
        </w:rPr>
        <w:t xml:space="preserve">[Harel] Harel, D., "Statecharts: A Visual Formalism for Complex Systems", Science of Computer Programming 8(3), 1987.</w:t>
      </w:r>
    </w:p>
    <w:p>
      <w:pPr>
        <w:spacing w:after="120" w:line="280"/>
        <w:jc w:val="both"/>
      </w:pPr>
      <w:r>
        <w:rPr>
          <w:rFonts w:ascii="Cambria" w:cs="Cambria" w:eastAsia="Cambria" w:hAnsi="Cambria"/>
          <w:sz w:val="22"/>
          <w:szCs w:val="22"/>
        </w:rPr>
        <w:t xml:space="preserve">[BGP] Rekhter, Y., Li, T., Hares, S., "A Border Gateway Protocol 4 (BGP-4)", RFC 4271, January 2006. (Inspirational; the substrate's network layer is a partial analog.)</w:t>
      </w:r>
    </w:p>
    <w:p>
      <w:pPr>
        <w:spacing w:before="600"/>
        <w:jc w:val="center"/>
      </w:pPr>
      <w:r>
        <w:rPr>
          <w:rFonts w:ascii="Cambria" w:cs="Cambria" w:eastAsia="Cambria" w:hAnsi="Cambria"/>
          <w:i/>
          <w:iCs/>
          <w:color w:val="888888"/>
          <w:sz w:val="20"/>
          <w:szCs w:val="20"/>
        </w:rPr>
        <w:t xml:space="preserve">— end of EOC-1 working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EOC-1 Working Draft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EOC-1 Specification</dc:title>
  <dc:creator>EOC</dc:creator>
  <cp:lastModifiedBy>Un-named</cp:lastModifiedBy>
  <cp:revision>1</cp:revision>
  <dcterms:created xsi:type="dcterms:W3CDTF">2026-05-06T09:25:43.211Z</dcterms:created>
  <dcterms:modified xsi:type="dcterms:W3CDTF">2026-05-06T09:25:43.224Z</dcterms:modified>
</cp:coreProperties>
</file>

<file path=docProps/custom.xml><?xml version="1.0" encoding="utf-8"?>
<Properties xmlns="http://schemas.openxmlformats.org/officeDocument/2006/custom-properties" xmlns:vt="http://schemas.openxmlformats.org/officeDocument/2006/docPropsVTypes"/>
</file>