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EOC-1 v0.2 Addendum A</w:t>
      </w:r>
    </w:p>
    <w:p>
      <w:pPr>
        <w:spacing w:after="240"/>
        <w:jc w:val="center"/>
      </w:pPr>
      <w:r>
        <w:rPr>
          <w:rFonts w:ascii="Cambria" w:cs="Cambria" w:eastAsia="Cambria" w:hAnsi="Cambria"/>
          <w:b/>
          <w:bCs/>
          <w:sz w:val="42"/>
          <w:szCs w:val="42"/>
        </w:rPr>
        <w:t xml:space="preserve">Non-Goals: Token Economics</w:t>
      </w:r>
    </w:p>
    <w:p>
      <w:pPr>
        <w:spacing w:after="60"/>
        <w:jc w:val="center"/>
      </w:pPr>
      <w:r>
        <w:rPr>
          <w:rFonts w:ascii="Cambria" w:cs="Cambria" w:eastAsia="Cambria" w:hAnsi="Cambria"/>
          <w:i/>
          <w:iCs/>
          <w:sz w:val="24"/>
          <w:szCs w:val="24"/>
        </w:rPr>
        <w:t xml:space="preserve">A Normative Section to be Inserted as §1.6 of EOC-1 v0.2</w:t>
      </w:r>
    </w:p>
    <w:p>
      <w:pPr>
        <w:spacing w:after="600"/>
        <w:jc w:val="center"/>
      </w:pPr>
      <w:r>
        <w:rPr>
          <w:rFonts w:ascii="Cambria" w:cs="Cambria" w:eastAsia="Cambria" w:hAnsi="Cambria"/>
          <w:color w:val="555555"/>
          <w:sz w:val="22"/>
          <w:szCs w:val="22"/>
        </w:rPr>
        <w:t xml:space="preserve">Working Draft 0.1</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specifies a new normative section §1.6 of EOC-1 v0.2 plus consequential clarifications elsewhere in the spec stack. It makes explicit the substrate's rejection of token-based metrics, per-token pricing, and autoregressive next-token prediction as architectural defaults. The technical content of v0.2 is unchanged; this addendum makes the substrate's posture toward the dominant industry framing explicit and citable. Distribution is unlimited.</w:t>
      </w:r>
    </w:p>
    <w:p>
      <w:r>
        <w:br w:type="page"/>
      </w:r>
    </w:p>
    <w:p>
      <w:pPr>
        <w:pStyle w:val="Heading1"/>
        <w:spacing w:after="180" w:before="360"/>
      </w:pPr>
      <w:r>
        <w:rPr>
          <w:rFonts w:ascii="Cambria" w:cs="Cambria" w:eastAsia="Cambria" w:hAnsi="Cambria"/>
          <w:b/>
          <w:bCs/>
          <w:sz w:val="30"/>
          <w:szCs w:val="30"/>
        </w:rPr>
        <w:t xml:space="preserve">How To Read This Addendum</w:t>
      </w:r>
    </w:p>
    <w:p>
      <w:pPr>
        <w:spacing w:after="120" w:line="280"/>
        <w:jc w:val="both"/>
      </w:pPr>
      <w:r>
        <w:rPr>
          <w:rFonts w:ascii="Cambria" w:cs="Cambria" w:eastAsia="Cambria" w:hAnsi="Cambria"/>
          <w:sz w:val="22"/>
          <w:szCs w:val="22"/>
        </w:rPr>
        <w:t xml:space="preserve">This addendum defines a new section of EOC-1 v0.2 (§1.6, Non-Goals: Token Economics) and three consequential clarifications elsewhere in the v0.2 document and its companions. The new section is normative and uses RFC 2119 keywords. The clarifications are editorial and do not change technical content.</w:t>
      </w:r>
    </w:p>
    <w:p>
      <w:pPr>
        <w:spacing w:after="120" w:line="280"/>
        <w:jc w:val="both"/>
      </w:pPr>
      <w:r>
        <w:rPr>
          <w:rFonts w:ascii="Cambria" w:cs="Cambria" w:eastAsia="Cambria" w:hAnsi="Cambria"/>
          <w:sz w:val="22"/>
          <w:szCs w:val="22"/>
        </w:rPr>
        <w:t xml:space="preserve">The companion document "Tokens Are the Concealment" provides the rhetorical and historical argument for the position taken here. This addendum is the spec-language version of that argument, reduced to the requirements an implementation must satisfy. Readers seeking justification beyond the requirements stated below should refer to the companion document.</w:t>
      </w:r>
    </w:p>
    <w:p>
      <w:pPr>
        <w:spacing w:after="120" w:line="280"/>
        <w:jc w:val="both"/>
      </w:pPr>
      <w:r>
        <w:rPr>
          <w:rFonts w:ascii="Cambria" w:cs="Cambria" w:eastAsia="Cambria" w:hAnsi="Cambria"/>
          <w:sz w:val="22"/>
          <w:szCs w:val="22"/>
        </w:rPr>
        <w:t xml:space="preserve">The substrate's technical capability is unchanged. Implementations conformant to v0.2 prior to this addendum remain conformant after it; the addendum makes existing posture explicit, it does not add new capability requirements. The only behavioral change is that capability descriptors and certificates MUST NOT carry token-denominated fields, which they were already not required to carry in the unamended v0.2.</w:t>
      </w:r>
    </w:p>
    <w:p>
      <w:pPr>
        <w:pStyle w:val="Heading1"/>
        <w:pageBreakBefore/>
        <w:spacing w:after="180" w:before="0"/>
      </w:pPr>
      <w:r>
        <w:rPr>
          <w:rFonts w:ascii="Cambria" w:cs="Cambria" w:eastAsia="Cambria" w:hAnsi="Cambria"/>
          <w:b/>
          <w:bCs/>
          <w:sz w:val="30"/>
          <w:szCs w:val="30"/>
        </w:rPr>
        <w:t xml:space="preserve">Insertion: EOC-1 v0.2 §1.6 — Non-Goals: Token Economics</w:t>
      </w:r>
    </w:p>
    <w:p>
      <w:pPr>
        <w:spacing w:after="120" w:line="280"/>
        <w:jc w:val="both"/>
      </w:pPr>
      <w:r>
        <w:rPr>
          <w:rFonts w:ascii="Cambria" w:cs="Cambria" w:eastAsia="Cambria" w:hAnsi="Cambria"/>
          <w:sz w:val="22"/>
          <w:szCs w:val="22"/>
        </w:rPr>
        <w:t xml:space="preserve">The following section is to be inserted into EOC-1 v0.2 as §1.6, between the existing §1.5 (Requirements Language) and the start of §2 (The Pipeline).</w:t>
      </w:r>
    </w:p>
    <w:p>
      <w:pPr>
        <w:pStyle w:val="Heading2"/>
        <w:spacing w:after="140" w:before="280"/>
      </w:pPr>
      <w:r>
        <w:rPr>
          <w:rFonts w:ascii="Cambria" w:cs="Cambria" w:eastAsia="Cambria" w:hAnsi="Cambria"/>
          <w:b/>
          <w:bCs/>
          <w:sz w:val="26"/>
          <w:szCs w:val="26"/>
        </w:rPr>
        <w:t xml:space="preserve">§1.6. Non-Goals: Token Economics</w:t>
      </w:r>
    </w:p>
    <w:p>
      <w:pPr>
        <w:pStyle w:val="Heading3"/>
        <w:spacing w:after="120" w:before="220"/>
      </w:pPr>
      <w:r>
        <w:rPr>
          <w:rFonts w:ascii="Cambria" w:cs="Cambria" w:eastAsia="Cambria" w:hAnsi="Cambria"/>
          <w:b/>
          <w:bCs/>
          <w:sz w:val="23"/>
          <w:szCs w:val="23"/>
        </w:rPr>
        <w:t xml:space="preserve">§1.6.1. The Substrate Refuses the Token as a Public Unit</w:t>
      </w:r>
    </w:p>
    <w:p>
      <w:pPr>
        <w:spacing w:after="120" w:line="280"/>
        <w:jc w:val="both"/>
      </w:pPr>
      <w:r>
        <w:rPr>
          <w:rFonts w:ascii="Cambria" w:cs="Cambria" w:eastAsia="Cambria" w:hAnsi="Cambria"/>
          <w:sz w:val="22"/>
          <w:szCs w:val="22"/>
        </w:rPr>
        <w:t xml:space="preserve">This substrate does not adopt token-based metrics, does not bill in tokens, and does not optimize for tokens-per-second. The token, as the term is used in the contemporary AI industry, is a vocabulary unit produced by byte-pair encoding or similar compression schemes; it has no principled relationship to the work being done, the value being produced, the energy being consumed, or the user's task. It is a billing fiction, and the substrate refuses it at the level of the substrate's interface to the world.</w:t>
      </w:r>
    </w:p>
    <w:p>
      <w:pPr>
        <w:spacing w:after="120" w:line="280"/>
        <w:jc w:val="both"/>
      </w:pPr>
      <w:r>
        <w:rPr>
          <w:rFonts w:ascii="Cambria" w:cs="Cambria" w:eastAsia="Cambria" w:hAnsi="Cambria"/>
          <w:sz w:val="22"/>
          <w:szCs w:val="22"/>
        </w:rPr>
        <w:t xml:space="preserve">Specifically:</w:t>
      </w:r>
    </w:p>
    <w:p>
      <w:pPr>
        <w:pStyle w:val="ListParagraph"/>
        <w:numPr>
          <w:ilvl w:val="0"/>
          <w:numId w:val="2"/>
        </w:numPr>
        <w:spacing w:after="80" w:line="280"/>
      </w:pPr>
      <w:r>
        <w:rPr>
          <w:rFonts w:ascii="Cambria" w:cs="Cambria" w:eastAsia="Cambria" w:hAnsi="Cambria"/>
          <w:sz w:val="22"/>
          <w:szCs w:val="22"/>
        </w:rPr>
        <w:t xml:space="preserve">Capability descriptors (EOC-2 §5.1) MUST NOT carry token-denominated fields. Throughput, capacity, and load advertisements MUST be denominated in tasks per second, joules per task, or implementation-private units. Token throughput MUST NOT appear.</w:t>
      </w:r>
    </w:p>
    <w:p>
      <w:pPr>
        <w:pStyle w:val="ListParagraph"/>
        <w:numPr>
          <w:ilvl w:val="0"/>
          <w:numId w:val="2"/>
        </w:numPr>
        <w:spacing w:after="80" w:line="280"/>
      </w:pPr>
      <w:r>
        <w:rPr>
          <w:rFonts w:ascii="Cambria" w:cs="Cambria" w:eastAsia="Cambria" w:hAnsi="Cambria"/>
          <w:sz w:val="22"/>
          <w:szCs w:val="22"/>
        </w:rPr>
        <w:t xml:space="preserve">Certificates (EOC-1 §9.5, Eval-001 §8, Eval-002 §8) MUST NOT carry token fields. Reliability is denominated in pass rate on the open corpus; energy is denominated in joules; latency is denominated in wall time. Token counts have no place in any field of any conformant certificate.</w:t>
      </w:r>
    </w:p>
    <w:p>
      <w:pPr>
        <w:pStyle w:val="ListParagraph"/>
        <w:numPr>
          <w:ilvl w:val="0"/>
          <w:numId w:val="2"/>
        </w:numPr>
        <w:spacing w:after="80" w:line="280"/>
      </w:pPr>
      <w:r>
        <w:rPr>
          <w:rFonts w:ascii="Cambria" w:cs="Cambria" w:eastAsia="Cambria" w:hAnsi="Cambria"/>
          <w:sz w:val="22"/>
          <w:szCs w:val="22"/>
        </w:rPr>
        <w:t xml:space="preserve">Wire-protocol messages (EOC-2) MUST NOT denominate work in tokens. Query and response messages carry the typed payload and the resolution metadata; they do not carry token counts. The exception is when an implementation is bridging to an external service that itself uses token denomination, in which case the bridge MAY carry token information at the bridge boundary, but MUST NOT propagate it into substrate-native messages.</w:t>
      </w:r>
    </w:p>
    <w:p>
      <w:pPr>
        <w:pStyle w:val="ListParagraph"/>
        <w:numPr>
          <w:ilvl w:val="0"/>
          <w:numId w:val="2"/>
        </w:numPr>
        <w:spacing w:after="80" w:line="280"/>
      </w:pPr>
      <w:r>
        <w:rPr>
          <w:rFonts w:ascii="Cambria" w:cs="Cambria" w:eastAsia="Cambria" w:hAnsi="Cambria"/>
          <w:sz w:val="22"/>
          <w:szCs w:val="22"/>
        </w:rPr>
        <w:t xml:space="preserve">Per-stage and per-operator energy reporting (EOC-1 §2.2) MUST be denominated in joules. Implementations MAY report internal token counts in implementation-private telemetry, but those counts MUST NOT appear in conformant certificates, MUST NOT be advertised in capability descriptors, and MUST NOT be used as the basis for inter-implementation comparison.</w:t>
      </w:r>
    </w:p>
    <w:p>
      <w:pPr>
        <w:spacing w:after="120" w:line="280"/>
        <w:jc w:val="both"/>
      </w:pPr>
      <w:r>
        <w:rPr>
          <w:rFonts w:ascii="Cambria" w:cs="Cambria" w:eastAsia="Cambria" w:hAnsi="Cambria"/>
          <w:sz w:val="22"/>
          <w:szCs w:val="22"/>
        </w:rPr>
        <w:t xml:space="preserve">This is a deliberate non-goal. The unit is refused at the public interface; what implementations do internally is their business, but the substrate's accountability surfaces, economic contracts, and public claims do not denominate in tokens.</w:t>
      </w:r>
    </w:p>
    <w:p>
      <w:pPr>
        <w:pStyle w:val="Heading3"/>
        <w:spacing w:after="120" w:before="220"/>
      </w:pPr>
      <w:r>
        <w:rPr>
          <w:rFonts w:ascii="Cambria" w:cs="Cambria" w:eastAsia="Cambria" w:hAnsi="Cambria"/>
          <w:b/>
          <w:bCs/>
          <w:sz w:val="23"/>
          <w:szCs w:val="23"/>
        </w:rPr>
        <w:t xml:space="preserve">§1.6.2. The Substrate Refuses Per-Token Pricing</w:t>
      </w:r>
    </w:p>
    <w:p>
      <w:pPr>
        <w:spacing w:after="120" w:line="280"/>
        <w:jc w:val="both"/>
      </w:pPr>
      <w:r>
        <w:rPr>
          <w:rFonts w:ascii="Cambria" w:cs="Cambria" w:eastAsia="Cambria" w:hAnsi="Cambria"/>
          <w:sz w:val="22"/>
          <w:szCs w:val="22"/>
        </w:rPr>
        <w:t xml:space="preserve">Operators serving queries through the substrate MAY charge for the work they perform. The substrate provides hooks for several economic models (EOC-1 §11): voluntary, reciprocal, transactional, subsidized. None is mandated. But the unit of charge MUST be the task, not the token.</w:t>
      </w:r>
    </w:p>
    <w:p>
      <w:pPr>
        <w:spacing w:after="120" w:line="280"/>
        <w:jc w:val="both"/>
      </w:pPr>
      <w:r>
        <w:rPr>
          <w:rFonts w:ascii="Cambria" w:cs="Cambria" w:eastAsia="Cambria" w:hAnsi="Cambria"/>
          <w:sz w:val="22"/>
          <w:szCs w:val="22"/>
        </w:rPr>
        <w:t xml:space="preserve">Per-task pricing has the following normative implications:</w:t>
      </w:r>
    </w:p>
    <w:p>
      <w:pPr>
        <w:pStyle w:val="ListParagraph"/>
        <w:numPr>
          <w:ilvl w:val="0"/>
          <w:numId w:val="2"/>
        </w:numPr>
        <w:spacing w:after="80" w:line="280"/>
      </w:pPr>
      <w:r>
        <w:rPr>
          <w:rFonts w:ascii="Cambria" w:cs="Cambria" w:eastAsia="Cambria" w:hAnsi="Cambria"/>
          <w:sz w:val="22"/>
          <w:szCs w:val="22"/>
        </w:rPr>
        <w:t xml:space="preserve">Charge schedules advertised in capability descriptors MUST be denominated in cost per task, where the task is defined by query type per the substrate's typed-query model (EOC-1 §3.1). Acceptable units include monetary cost per task, energy cost per task, or substrate-native reciprocity tokens (EOC-1 §11.2) per task. Per-token charges MUST NOT appear.</w:t>
      </w:r>
    </w:p>
    <w:p>
      <w:pPr>
        <w:pStyle w:val="ListParagraph"/>
        <w:numPr>
          <w:ilvl w:val="0"/>
          <w:numId w:val="2"/>
        </w:numPr>
        <w:spacing w:after="80" w:line="280"/>
      </w:pPr>
      <w:r>
        <w:rPr>
          <w:rFonts w:ascii="Cambria" w:cs="Cambria" w:eastAsia="Cambria" w:hAnsi="Cambria"/>
          <w:sz w:val="22"/>
          <w:szCs w:val="22"/>
        </w:rPr>
        <w:t xml:space="preserve">Receipts (EOC-2 §8.5, QUERY_RECEIPT) MUST denominate the transaction in tasks completed, not tokens consumed. The receipt records that a task was performed, at what proficiency, at what energy cost; it does not record how many internal tokens the operator's implementation chose to consume in performing it.</w:t>
      </w:r>
    </w:p>
    <w:p>
      <w:pPr>
        <w:pStyle w:val="ListParagraph"/>
        <w:numPr>
          <w:ilvl w:val="0"/>
          <w:numId w:val="2"/>
        </w:numPr>
        <w:spacing w:after="80" w:line="280"/>
      </w:pPr>
      <w:r>
        <w:rPr>
          <w:rFonts w:ascii="Cambria" w:cs="Cambria" w:eastAsia="Cambria" w:hAnsi="Cambria"/>
          <w:sz w:val="22"/>
          <w:szCs w:val="22"/>
        </w:rPr>
        <w:t xml:space="preserve">An operator's cost model MUST be visible to the requesting client before the operator commits to the task. This means clients have the information they need to choose between operators on the basis of cost per task, not on the basis of opaque token-rate metrics that vary by orders of magnitude based on implementation details the client cannot observe.</w:t>
      </w:r>
    </w:p>
    <w:p>
      <w:pPr>
        <w:spacing w:after="120" w:line="280"/>
        <w:jc w:val="both"/>
      </w:pPr>
      <w:r>
        <w:rPr>
          <w:rFonts w:ascii="Cambria" w:cs="Cambria" w:eastAsia="Cambria" w:hAnsi="Cambria"/>
          <w:sz w:val="22"/>
          <w:szCs w:val="22"/>
        </w:rPr>
        <w:t xml:space="preserve">The rationale: per-task pricing aligns provider and customer incentives. Per-token pricing aligns provider incentives with verbosity. Every other professional service in the world prices its work per task, project, or unit of value delivered; the substrate adopts the universal practice rather than the AI industry's idiosyncratic exception.</w:t>
      </w:r>
    </w:p>
    <w:p>
      <w:pPr>
        <w:pStyle w:val="Heading3"/>
        <w:spacing w:after="120" w:before="220"/>
      </w:pPr>
      <w:r>
        <w:rPr>
          <w:rFonts w:ascii="Cambria" w:cs="Cambria" w:eastAsia="Cambria" w:hAnsi="Cambria"/>
          <w:b/>
          <w:bCs/>
          <w:sz w:val="23"/>
          <w:szCs w:val="23"/>
        </w:rPr>
        <w:t xml:space="preserve">§1.6.3. The Substrate Refuses Autoregressive Generation as Architectural Default</w:t>
      </w:r>
    </w:p>
    <w:p>
      <w:pPr>
        <w:spacing w:after="120" w:line="280"/>
        <w:jc w:val="both"/>
      </w:pPr>
      <w:r>
        <w:rPr>
          <w:rFonts w:ascii="Cambria" w:cs="Cambria" w:eastAsia="Cambria" w:hAnsi="Cambria"/>
          <w:sz w:val="22"/>
          <w:szCs w:val="22"/>
        </w:rPr>
        <w:t xml:space="preserve">This is the structural correlate of the unit refusal. Refusing the token without refusing the architecture the token recommended would leave the substrate in an inconsistent posture: denominating in joules while still routing every query through token-generating pipelines.</w:t>
      </w:r>
    </w:p>
    <w:p>
      <w:pPr>
        <w:spacing w:after="120" w:line="280"/>
        <w:jc w:val="both"/>
      </w:pPr>
      <w:r>
        <w:rPr>
          <w:rFonts w:ascii="Cambria" w:cs="Cambria" w:eastAsia="Cambria" w:hAnsi="Cambria"/>
          <w:sz w:val="22"/>
          <w:szCs w:val="22"/>
        </w:rPr>
        <w:t xml:space="preserve">The substrate's pipeline (§2) routes work through state-construct, retrieve, refine, and check stages in that order. Autoregressive generation is one operator family within the refine stage (EOC-5 §4.3, eoc/refine/llm-in-loop/1). It is ordered last in the substrate's preference list because it is the most expensive and most stochastic option. Specifically:</w:t>
      </w:r>
    </w:p>
    <w:p>
      <w:pPr>
        <w:pStyle w:val="ListParagraph"/>
        <w:numPr>
          <w:ilvl w:val="0"/>
          <w:numId w:val="2"/>
        </w:numPr>
        <w:spacing w:after="80" w:line="280"/>
      </w:pPr>
      <w:r>
        <w:rPr>
          <w:rFonts w:ascii="Cambria" w:cs="Cambria" w:eastAsia="Cambria" w:hAnsi="Cambria"/>
          <w:sz w:val="22"/>
          <w:szCs w:val="22"/>
        </w:rPr>
        <w:t xml:space="preserve">Implementations MUST NOT default to llm-in-loop for query types where a cheaper refine operator family can satisfy the constraint set. The substrate's dispatcher MUST select the cheapest family adequate for the query type, not the family the implementation prefers for organizational reasons.</w:t>
      </w:r>
    </w:p>
    <w:p>
      <w:pPr>
        <w:pStyle w:val="ListParagraph"/>
        <w:numPr>
          <w:ilvl w:val="0"/>
          <w:numId w:val="2"/>
        </w:numPr>
        <w:spacing w:after="80" w:line="280"/>
      </w:pPr>
      <w:r>
        <w:rPr>
          <w:rFonts w:ascii="Cambria" w:cs="Cambria" w:eastAsia="Cambria" w:hAnsi="Cambria"/>
          <w:sz w:val="22"/>
          <w:szCs w:val="22"/>
        </w:rPr>
        <w:t xml:space="preserve">Implementations MUST NOT use autoregressive generation in the state-construct stage (§3.3). This was already normative in v0.2 and is reiterated here for emphasis: typing the work cannot be a stochastic operation.</w:t>
      </w:r>
    </w:p>
    <w:p>
      <w:pPr>
        <w:pStyle w:val="ListParagraph"/>
        <w:numPr>
          <w:ilvl w:val="0"/>
          <w:numId w:val="2"/>
        </w:numPr>
        <w:spacing w:after="80" w:line="280"/>
      </w:pPr>
      <w:r>
        <w:rPr>
          <w:rFonts w:ascii="Cambria" w:cs="Cambria" w:eastAsia="Cambria" w:hAnsi="Cambria"/>
          <w:sz w:val="22"/>
          <w:szCs w:val="22"/>
        </w:rPr>
        <w:t xml:space="preserve">Implementations MUST NOT use autoregressive generation in the check stage (§6.4). LLM-as-judge is forbidden because it destroys the audit property of the entire pipeline.</w:t>
      </w:r>
    </w:p>
    <w:p>
      <w:pPr>
        <w:pStyle w:val="ListParagraph"/>
        <w:numPr>
          <w:ilvl w:val="0"/>
          <w:numId w:val="2"/>
        </w:numPr>
        <w:spacing w:after="80" w:line="280"/>
      </w:pPr>
      <w:r>
        <w:rPr>
          <w:rFonts w:ascii="Cambria" w:cs="Cambria" w:eastAsia="Cambria" w:hAnsi="Cambria"/>
          <w:sz w:val="22"/>
          <w:szCs w:val="22"/>
        </w:rPr>
        <w:t xml:space="preserve">Implementations MAY use autoregressive generation in the refine stage when the constraint set genuinely cannot be satisfied by cheaper operator families and when the energy envelope permits. The substrate's certificate format makes this usage visible per query type, so it is observable rather than hidden.</w:t>
      </w:r>
    </w:p>
    <w:p>
      <w:pPr>
        <w:spacing w:after="120" w:line="280"/>
        <w:jc w:val="both"/>
      </w:pPr>
      <w:r>
        <w:rPr>
          <w:rFonts w:ascii="Cambria" w:cs="Cambria" w:eastAsia="Cambria" w:hAnsi="Cambria"/>
          <w:sz w:val="22"/>
          <w:szCs w:val="22"/>
        </w:rPr>
        <w:t xml:space="preserve">This is not a prohibition on next-token prediction as a mechanism. The mechanism remains available for the genuinely open-ended fraction of work that cannot be served by retrieval, refinement, deterministic computation, or any combination of the cheaper operator families. It is no longer the default architecture for every query regardless of fit.</w:t>
      </w:r>
    </w:p>
    <w:p>
      <w:pPr>
        <w:pStyle w:val="Heading3"/>
        <w:spacing w:after="120" w:before="220"/>
      </w:pPr>
      <w:r>
        <w:rPr>
          <w:rFonts w:ascii="Cambria" w:cs="Cambria" w:eastAsia="Cambria" w:hAnsi="Cambria"/>
          <w:b/>
          <w:bCs/>
          <w:sz w:val="23"/>
          <w:szCs w:val="23"/>
        </w:rPr>
        <w:t xml:space="preserve">§1.6.4. Why These Are Non-Goals</w:t>
      </w:r>
    </w:p>
    <w:p>
      <w:pPr>
        <w:spacing w:after="120" w:line="280"/>
        <w:jc w:val="both"/>
      </w:pPr>
      <w:r>
        <w:rPr>
          <w:rFonts w:ascii="Cambria" w:cs="Cambria" w:eastAsia="Cambria" w:hAnsi="Cambria"/>
          <w:sz w:val="22"/>
          <w:szCs w:val="22"/>
        </w:rPr>
        <w:t xml:space="preserve">The substrate is constructed under the assumption that the token-based unit and autoregressive-generation default are mutually reinforcing institutional choices that have made the AI industry less efficient than it could be by one to two orders of magnitude on representative workloads. The substrate's purpose is to demonstrate that an alternative is technically possible and economically coherent. Non-goals exist to make the position legible: a substrate that did adopt token-based metrics and autoregressive defaults would be a different substrate, and would not deliver the energy properties this substrate exists to deliver.</w:t>
      </w:r>
    </w:p>
    <w:p>
      <w:pPr>
        <w:spacing w:after="120" w:line="280"/>
        <w:jc w:val="both"/>
      </w:pPr>
      <w:r>
        <w:rPr>
          <w:rFonts w:ascii="Cambria" w:cs="Cambria" w:eastAsia="Cambria" w:hAnsi="Cambria"/>
          <w:sz w:val="22"/>
          <w:szCs w:val="22"/>
        </w:rPr>
        <w:t xml:space="preserve">Implementations that wish to provide token-denominated services to external clients (e.g., as a translation layer for legacy applications) MAY do so as a bridge layer outside the substrate's normative interface. The substrate's gossip, capability advertisement, certification, and reputation mechanics will not transport token-denominated claims; bridges that wish to expose token-rate information to their own customers MUST do so through their own customer-facing interface, not through the substrate's protocols.</w:t>
      </w:r>
    </w:p>
    <w:p>
      <w:pPr>
        <w:pStyle w:val="Heading3"/>
        <w:spacing w:after="120" w:before="220"/>
      </w:pPr>
      <w:r>
        <w:rPr>
          <w:rFonts w:ascii="Cambria" w:cs="Cambria" w:eastAsia="Cambria" w:hAnsi="Cambria"/>
          <w:b/>
          <w:bCs/>
          <w:sz w:val="23"/>
          <w:szCs w:val="23"/>
        </w:rPr>
        <w:t xml:space="preserve">§1.6.5. Updates Required by This Section</w:t>
      </w:r>
    </w:p>
    <w:p>
      <w:pPr>
        <w:spacing w:after="120" w:line="280"/>
        <w:jc w:val="both"/>
      </w:pPr>
      <w:r>
        <w:rPr>
          <w:rFonts w:ascii="Cambria" w:cs="Cambria" w:eastAsia="Cambria" w:hAnsi="Cambria"/>
          <w:sz w:val="22"/>
          <w:szCs w:val="22"/>
        </w:rPr>
        <w:t xml:space="preserve">The following editorial changes elsewhere in the spec stack are made consequential to §1.6:</w:t>
      </w:r>
    </w:p>
    <w:p>
      <w:pPr>
        <w:pStyle w:val="ListParagraph"/>
        <w:numPr>
          <w:ilvl w:val="0"/>
          <w:numId w:val="2"/>
        </w:numPr>
        <w:spacing w:after="80" w:line="280"/>
      </w:pPr>
      <w:r>
        <w:rPr>
          <w:rFonts w:ascii="Cambria" w:cs="Cambria" w:eastAsia="Cambria" w:hAnsi="Cambria"/>
          <w:sz w:val="22"/>
          <w:szCs w:val="22"/>
        </w:rPr>
        <w:t xml:space="preserve">EOC-2 §5.1 (CapabilityDescriptor): the schema is clarified to specify that any token-denominated field is a non-conformance and MUST be rejected at validation. No structural change; the field set was already token-free, but the absence is now normative.</w:t>
      </w:r>
    </w:p>
    <w:p>
      <w:pPr>
        <w:pStyle w:val="ListParagraph"/>
        <w:numPr>
          <w:ilvl w:val="0"/>
          <w:numId w:val="2"/>
        </w:numPr>
        <w:spacing w:after="80" w:line="280"/>
      </w:pPr>
      <w:r>
        <w:rPr>
          <w:rFonts w:ascii="Cambria" w:cs="Cambria" w:eastAsia="Cambria" w:hAnsi="Cambria"/>
          <w:sz w:val="22"/>
          <w:szCs w:val="22"/>
        </w:rPr>
        <w:t xml:space="preserve">Eval-001 §8 and Eval-002 §8 (Certificate Formats): the schemas are clarified to specify that token fields are forbidden. No structural change.</w:t>
      </w:r>
    </w:p>
    <w:p>
      <w:pPr>
        <w:pStyle w:val="ListParagraph"/>
        <w:numPr>
          <w:ilvl w:val="0"/>
          <w:numId w:val="2"/>
        </w:numPr>
        <w:spacing w:after="80" w:line="280"/>
      </w:pPr>
      <w:r>
        <w:rPr>
          <w:rFonts w:ascii="Cambria" w:cs="Cambria" w:eastAsia="Cambria" w:hAnsi="Cambria"/>
          <w:sz w:val="22"/>
          <w:szCs w:val="22"/>
        </w:rPr>
        <w:t xml:space="preserve">EOC-5 §4.3 (canonical refine families) and §4.3 (cost ordering): the language is sharpened to make explicit that the cost ordering is the substrate's preference signal, and that defaulting to the most expensive family for query types where cheaper families suffice is non-conformant under the §1.6 prohibition above.</w:t>
      </w:r>
    </w:p>
    <w:p>
      <w:pPr>
        <w:pStyle w:val="Heading1"/>
        <w:pageBreakBefore/>
        <w:spacing w:after="180" w:before="0"/>
      </w:pPr>
      <w:r>
        <w:rPr>
          <w:rFonts w:ascii="Cambria" w:cs="Cambria" w:eastAsia="Cambria" w:hAnsi="Cambria"/>
          <w:b/>
          <w:bCs/>
          <w:sz w:val="30"/>
          <w:szCs w:val="30"/>
        </w:rPr>
        <w:t xml:space="preserve">Consequential Editorial Clarifications</w:t>
      </w:r>
    </w:p>
    <w:p>
      <w:pPr>
        <w:spacing w:after="120" w:line="280"/>
        <w:jc w:val="both"/>
      </w:pPr>
      <w:r>
        <w:rPr>
          <w:rFonts w:ascii="Cambria" w:cs="Cambria" w:eastAsia="Cambria" w:hAnsi="Cambria"/>
          <w:sz w:val="22"/>
          <w:szCs w:val="22"/>
        </w:rPr>
        <w:t xml:space="preserve">The following changes are editorial — they sharpen language already present rather than adding new requirements. Each is prefixed with the document and section affected, and shows the change in prose.</w:t>
      </w:r>
    </w:p>
    <w:p>
      <w:pPr>
        <w:pStyle w:val="Heading2"/>
        <w:spacing w:after="140" w:before="280"/>
      </w:pPr>
      <w:r>
        <w:rPr>
          <w:rFonts w:ascii="Cambria" w:cs="Cambria" w:eastAsia="Cambria" w:hAnsi="Cambria"/>
          <w:b/>
          <w:bCs/>
          <w:sz w:val="26"/>
          <w:szCs w:val="26"/>
        </w:rPr>
        <w:t xml:space="preserve">Clarification 1 — EOC-2 §5.1 CapabilityDescriptor</w:t>
      </w:r>
    </w:p>
    <w:p>
      <w:pPr>
        <w:spacing w:after="120" w:line="280"/>
        <w:jc w:val="both"/>
      </w:pPr>
      <w:r>
        <w:rPr>
          <w:rFonts w:ascii="Cambria" w:cs="Cambria" w:eastAsia="Cambria" w:hAnsi="Cambria"/>
          <w:sz w:val="22"/>
          <w:szCs w:val="22"/>
        </w:rPr>
        <w:t xml:space="preserve">Insert at the end of §5.1, as a new normative paragraph:</w:t>
      </w:r>
    </w:p>
    <w:p>
      <w:pPr>
        <w:shd w:fill="F4F4F4" w:val="clear"/>
        <w:spacing w:after="140" w:before="100" w:line="260"/>
        <w:jc w:val="left"/>
      </w:pPr>
      <w:r>
        <w:rPr>
          <w:rFonts w:ascii="Consolas" w:cs="Consolas" w:eastAsia="Consolas" w:hAnsi="Consolas"/>
          <w:sz w:val="18"/>
          <w:szCs w:val="18"/>
        </w:rPr>
        <w:t xml:space="preserve">Capability descriptors MUST NOT carry token-denominated fields.
Throughput, capacity, and load advertisements MUST be denominated
in tasks per second, joules per task, or implementation-private
units. A capability descriptor containing a token-denominated
field at any nesting level is non-conformant; receivers MUST
reject such descriptors and MAY decrement the source's
reputation per §9.4.</w:t>
      </w:r>
    </w:p>
    <w:p>
      <w:pPr>
        <w:spacing w:after="120" w:line="280"/>
        <w:jc w:val="both"/>
      </w:pPr>
      <w:r>
        <w:rPr>
          <w:rFonts w:ascii="Cambria" w:cs="Cambria" w:eastAsia="Cambria" w:hAnsi="Cambria"/>
          <w:sz w:val="22"/>
          <w:szCs w:val="22"/>
        </w:rPr>
        <w:t xml:space="preserve">The structural CapabilityDescriptor schema in v0.1 already contained no token field, so this clarification names the existing absence as normative rather than incidental.</w:t>
      </w:r>
    </w:p>
    <w:p>
      <w:pPr>
        <w:pStyle w:val="Heading2"/>
        <w:spacing w:after="140" w:before="280"/>
      </w:pPr>
      <w:r>
        <w:rPr>
          <w:rFonts w:ascii="Cambria" w:cs="Cambria" w:eastAsia="Cambria" w:hAnsi="Cambria"/>
          <w:b/>
          <w:bCs/>
          <w:sz w:val="26"/>
          <w:szCs w:val="26"/>
        </w:rPr>
        <w:t xml:space="preserve">Clarification 2 — Eval-001 §8 Certificate Format</w:t>
      </w:r>
    </w:p>
    <w:p>
      <w:pPr>
        <w:spacing w:after="120" w:line="280"/>
        <w:jc w:val="both"/>
      </w:pPr>
      <w:r>
        <w:rPr>
          <w:rFonts w:ascii="Cambria" w:cs="Cambria" w:eastAsia="Cambria" w:hAnsi="Cambria"/>
          <w:sz w:val="22"/>
          <w:szCs w:val="22"/>
        </w:rPr>
        <w:t xml:space="preserve">Insert at the end of §8 (after the certificate JSON example), as a new normative paragraph:</w:t>
      </w:r>
    </w:p>
    <w:p>
      <w:pPr>
        <w:shd w:fill="F4F4F4" w:val="clear"/>
        <w:spacing w:after="140" w:before="100" w:line="260"/>
        <w:jc w:val="left"/>
      </w:pPr>
      <w:r>
        <w:rPr>
          <w:rFonts w:ascii="Consolas" w:cs="Consolas" w:eastAsia="Consolas" w:hAnsi="Consolas"/>
          <w:sz w:val="18"/>
          <w:szCs w:val="18"/>
        </w:rPr>
        <w:t xml:space="preserve">Eval-001 certificates MUST NOT carry token-denominated fields.
The certificate's energy_per_task is denominated in joules; its
reliability is denominated in pass rate; its tier and operator
distributions are denominated in fractions of total invocations.
Token counts MUST NOT appear in the certificate at any nesting
level. A certificate containing token-denominated fields is
non-conformant; the scorer MUST reject submissions that include
them.</w:t>
      </w:r>
    </w:p>
    <w:p>
      <w:pPr>
        <w:pStyle w:val="Heading2"/>
        <w:spacing w:after="140" w:before="280"/>
      </w:pPr>
      <w:r>
        <w:rPr>
          <w:rFonts w:ascii="Cambria" w:cs="Cambria" w:eastAsia="Cambria" w:hAnsi="Cambria"/>
          <w:b/>
          <w:bCs/>
          <w:sz w:val="26"/>
          <w:szCs w:val="26"/>
        </w:rPr>
        <w:t xml:space="preserve">Clarification 3 — Eval-002 §8 Certificate Format</w:t>
      </w:r>
    </w:p>
    <w:p>
      <w:pPr>
        <w:spacing w:after="120" w:line="280"/>
        <w:jc w:val="both"/>
      </w:pPr>
      <w:r>
        <w:rPr>
          <w:rFonts w:ascii="Cambria" w:cs="Cambria" w:eastAsia="Cambria" w:hAnsi="Cambria"/>
          <w:sz w:val="22"/>
          <w:szCs w:val="22"/>
        </w:rPr>
        <w:t xml:space="preserve">Insert the analogous paragraph in Eval-002 §8:</w:t>
      </w:r>
    </w:p>
    <w:p>
      <w:pPr>
        <w:shd w:fill="F4F4F4" w:val="clear"/>
        <w:spacing w:after="140" w:before="100" w:line="260"/>
        <w:jc w:val="left"/>
      </w:pPr>
      <w:r>
        <w:rPr>
          <w:rFonts w:ascii="Consolas" w:cs="Consolas" w:eastAsia="Consolas" w:hAnsi="Consolas"/>
          <w:sz w:val="18"/>
          <w:szCs w:val="18"/>
        </w:rPr>
        <w:t xml:space="preserve">Eval-002 certificates MUST NOT carry token-denominated fields.
The certificate's energy_per_task is denominated in joules; its
four aggregate metrics (reliability, provenance correctness,
fabrication rate, omission rate) are denominated in their
respective units; its operator distributions are denominated in
fractions. Token counts MUST NOT appear in the certificate at
any nesting level.</w:t>
      </w:r>
    </w:p>
    <w:p>
      <w:pPr>
        <w:pStyle w:val="Heading2"/>
        <w:spacing w:after="140" w:before="280"/>
      </w:pPr>
      <w:r>
        <w:rPr>
          <w:rFonts w:ascii="Cambria" w:cs="Cambria" w:eastAsia="Cambria" w:hAnsi="Cambria"/>
          <w:b/>
          <w:bCs/>
          <w:sz w:val="26"/>
          <w:szCs w:val="26"/>
        </w:rPr>
        <w:t xml:space="preserve">Clarification 4 — EOC-5 §4.3 Refine Family Preference Ordering</w:t>
      </w:r>
    </w:p>
    <w:p>
      <w:pPr>
        <w:spacing w:after="120" w:line="280"/>
        <w:jc w:val="both"/>
      </w:pPr>
      <w:r>
        <w:rPr>
          <w:rFonts w:ascii="Cambria" w:cs="Cambria" w:eastAsia="Cambria" w:hAnsi="Cambria"/>
          <w:sz w:val="22"/>
          <w:szCs w:val="22"/>
        </w:rPr>
        <w:t xml:space="preserve">Replace the existing paragraph following the refine-family table with the following sharpened version:</w:t>
      </w:r>
    </w:p>
    <w:p>
      <w:pPr>
        <w:shd w:fill="F4F4F4" w:val="clear"/>
        <w:spacing w:after="140" w:before="100" w:line="260"/>
        <w:jc w:val="left"/>
      </w:pPr>
      <w:r>
        <w:rPr>
          <w:rFonts w:ascii="Consolas" w:cs="Consolas" w:eastAsia="Consolas" w:hAnsi="Consolas"/>
          <w:sz w:val="18"/>
          <w:szCs w:val="18"/>
        </w:rPr>
        <w:t xml:space="preserve">The cost ordering of refine families is the substrate's
preference signal (EOC-1 v0.2 §5.3, §1.6.3). Implementations
MUST select the cheapest family that can satisfy the constraint
set for a given query type; defaulting to a more expensive
family when a cheaper one would suffice is non-conformant per
§1.6.3. The dispatcher's policy MAY select more expensive
families when cheaper ones have failed to produce a satisfying
candidate, when the query type's specification declares an
explicit family preference, or when adversarial conditions
warrant. Selection MUST be observable in the certificate's
operator_invocation_distribution field; sustained selection of
expensive families for query types where cheap families would
suffice is detectable through certificate analysis and SHOULD
be reflected in reputation.</w:t>
      </w:r>
    </w:p>
    <w:p>
      <w:pPr>
        <w:pStyle w:val="Heading2"/>
        <w:spacing w:after="140" w:before="280"/>
      </w:pPr>
      <w:r>
        <w:rPr>
          <w:rFonts w:ascii="Cambria" w:cs="Cambria" w:eastAsia="Cambria" w:hAnsi="Cambria"/>
          <w:b/>
          <w:bCs/>
          <w:sz w:val="26"/>
          <w:szCs w:val="26"/>
        </w:rPr>
        <w:t xml:space="preserve">Clarification 5 — EOC-1 v0.2 §1.4 Fourth Truth</w:t>
      </w:r>
    </w:p>
    <w:p>
      <w:pPr>
        <w:spacing w:after="120" w:line="280"/>
        <w:jc w:val="both"/>
      </w:pPr>
      <w:r>
        <w:rPr>
          <w:rFonts w:ascii="Cambria" w:cs="Cambria" w:eastAsia="Cambria" w:hAnsi="Cambria"/>
          <w:sz w:val="22"/>
          <w:szCs w:val="22"/>
        </w:rPr>
        <w:t xml:space="preserve">Append the following sentence to the existing fourth truth:</w:t>
      </w:r>
    </w:p>
    <w:p>
      <w:pPr>
        <w:shd w:fill="F4F4F4" w:val="clear"/>
        <w:spacing w:after="140" w:before="100" w:line="260"/>
        <w:jc w:val="left"/>
      </w:pPr>
      <w:r>
        <w:rPr>
          <w:rFonts w:ascii="Consolas" w:cs="Consolas" w:eastAsia="Consolas" w:hAnsi="Consolas"/>
          <w:sz w:val="18"/>
          <w:szCs w:val="18"/>
        </w:rPr>
        <w:t xml:space="preserve">This truth is what justifies §1.6: refusing token economics and
autoregressive defaults is the architectural correlate of putting
refinement before generation. The unit and the architecture
move together; refusing one without the other produces an
inconsistent substrate.</w:t>
      </w:r>
    </w:p>
    <w:p>
      <w:pPr>
        <w:pStyle w:val="Heading1"/>
        <w:pageBreakBefore/>
        <w:spacing w:after="180" w:before="0"/>
      </w:pPr>
      <w:r>
        <w:rPr>
          <w:rFonts w:ascii="Cambria" w:cs="Cambria" w:eastAsia="Cambria" w:hAnsi="Cambria"/>
          <w:b/>
          <w:bCs/>
          <w:sz w:val="30"/>
          <w:szCs w:val="30"/>
        </w:rPr>
        <w:t xml:space="preserve">On the Substrate's Posture</w:t>
      </w:r>
    </w:p>
    <w:p>
      <w:pPr>
        <w:spacing w:after="120" w:line="280"/>
        <w:jc w:val="both"/>
      </w:pPr>
      <w:r>
        <w:rPr>
          <w:rFonts w:ascii="Cambria" w:cs="Cambria" w:eastAsia="Cambria" w:hAnsi="Cambria"/>
          <w:sz w:val="22"/>
          <w:szCs w:val="22"/>
        </w:rPr>
        <w:t xml:space="preserve">The substrate's posture toward the dominant industry framing is now legible in normative language. It can be cited, audited, and verified through the substrate's existing accountability mechanics. Implementations claiming v0.2 conformance after this addendum is incorporated MUST satisfy §1.6 in addition to the existing v0.2 requirements. Pre-addendum v0.2 implementations that do not violate §1.6 in their actual behavior remain effectively conformant; in practice, no v0.2 implementation built against the unamended specification is likely to need behavioral change, since the v0.2 specification's existing structure already foreclosed the practices §1.6 names as forbidden.</w:t>
      </w:r>
    </w:p>
    <w:p>
      <w:pPr>
        <w:spacing w:after="120" w:line="280"/>
        <w:jc w:val="both"/>
      </w:pPr>
      <w:r>
        <w:rPr>
          <w:rFonts w:ascii="Cambria" w:cs="Cambria" w:eastAsia="Cambria" w:hAnsi="Cambria"/>
          <w:sz w:val="22"/>
          <w:szCs w:val="22"/>
        </w:rPr>
        <w:t xml:space="preserve">The principal effect of §1.6 is rhetorical legibility. The substrate's posture toward token economics is no longer implicit in the structure of its certificates and capability descriptors; it is explicit in normative spec language. This matters because the substrate competes for adoption against an industry whose default framing is exactly the one §1.6 refuses. Without the explicit refusal, well-meaning implementers might bring token-denominated assumptions back in, on the grounds that the spec did not forbid them. With the explicit refusal, that ambiguity is removed.</w:t>
      </w:r>
    </w:p>
    <w:p>
      <w:pPr>
        <w:spacing w:after="120" w:line="280"/>
        <w:jc w:val="both"/>
      </w:pPr>
      <w:r>
        <w:rPr>
          <w:rFonts w:ascii="Cambria" w:cs="Cambria" w:eastAsia="Cambria" w:hAnsi="Cambria"/>
          <w:sz w:val="22"/>
          <w:szCs w:val="22"/>
        </w:rPr>
        <w:t xml:space="preserve">The companion document, "Tokens Are the Concealment," makes the historical and rhetorical case for why this refusal is the substrate's most important commitment. This addendum is the spec-language version. They serve different purposes; both are on the record. The substrate is well-served by having both.</w:t>
      </w:r>
    </w:p>
    <w:p>
      <w:pPr>
        <w:spacing w:before="600"/>
        <w:jc w:val="center"/>
      </w:pPr>
      <w:r>
        <w:rPr>
          <w:rFonts w:ascii="Cambria" w:cs="Cambria" w:eastAsia="Cambria" w:hAnsi="Cambria"/>
          <w:i/>
          <w:iCs/>
          <w:color w:val="888888"/>
          <w:sz w:val="20"/>
          <w:szCs w:val="20"/>
        </w:rPr>
        <w:t xml:space="preserve">— end of EOC-1 v0.2 Addendum A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EOC-1 v0.2 Addendum A — Non-Goals: Token Economics — Working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EOC-1 v0.2 Addendum A — Non-Goals: Token Economics</dc:title>
  <dc:creator>EOC</dc:creator>
  <cp:lastModifiedBy>Un-named</cp:lastModifiedBy>
  <cp:revision>1</cp:revision>
  <dcterms:created xsi:type="dcterms:W3CDTF">2026-05-06T23:08:28.912Z</dcterms:created>
  <dcterms:modified xsi:type="dcterms:W3CDTF">2026-05-06T23:08:28.913Z</dcterms:modified>
</cp:coreProperties>
</file>

<file path=docProps/custom.xml><?xml version="1.0" encoding="utf-8"?>
<Properties xmlns="http://schemas.openxmlformats.org/officeDocument/2006/custom-properties" xmlns:vt="http://schemas.openxmlformats.org/officeDocument/2006/docPropsVTypes"/>
</file>