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after="80"/>
        <w:jc w:val="center"/>
      </w:pPr>
      <w:r>
        <w:rPr>
          <w:rFonts w:ascii="Cambria" w:cs="Cambria" w:eastAsia="Cambria" w:hAnsi="Cambria"/>
          <w:b/>
          <w:bCs/>
          <w:color w:val="555555"/>
          <w:sz w:val="24"/>
          <w:szCs w:val="24"/>
        </w:rPr>
        <w:t xml:space="preserve">EOC-5</w:t>
      </w:r>
    </w:p>
    <w:p>
      <w:pPr>
        <w:spacing w:after="240"/>
        <w:jc w:val="center"/>
      </w:pPr>
      <w:r>
        <w:rPr>
          <w:rFonts w:ascii="Cambria" w:cs="Cambria" w:eastAsia="Cambria" w:hAnsi="Cambria"/>
          <w:b/>
          <w:bCs/>
          <w:sz w:val="44"/>
          <w:szCs w:val="44"/>
        </w:rPr>
        <w:t xml:space="preserve">Operator Family Registry</w:t>
      </w:r>
    </w:p>
    <w:p>
      <w:pPr>
        <w:spacing w:after="60"/>
        <w:jc w:val="center"/>
      </w:pPr>
      <w:r>
        <w:rPr>
          <w:rFonts w:ascii="Cambria" w:cs="Cambria" w:eastAsia="Cambria" w:hAnsi="Cambria"/>
          <w:i/>
          <w:iCs/>
          <w:sz w:val="24"/>
          <w:szCs w:val="24"/>
        </w:rPr>
        <w:t xml:space="preserve">Stable Identifiers, Conformance Tests, and Versioning</w:t>
      </w:r>
    </w:p>
    <w:p>
      <w:pPr>
        <w:spacing w:after="600"/>
        <w:jc w:val="center"/>
      </w:pPr>
      <w:r>
        <w:rPr>
          <w:rFonts w:ascii="Cambria" w:cs="Cambria" w:eastAsia="Cambria" w:hAnsi="Cambria"/>
          <w:color w:val="555555"/>
          <w:sz w:val="22"/>
          <w:szCs w:val="22"/>
        </w:rPr>
        <w:t xml:space="preserve">Working Draft 0.1 — Companion to EOC-1 v0.2</w:t>
      </w:r>
    </w:p>
    <w:p>
      <w:pPr>
        <w:spacing w:after="60"/>
        <w:jc w:val="center"/>
      </w:pPr>
      <w:r>
        <w:rPr>
          <w:rFonts w:ascii="Cambria" w:cs="Cambria" w:eastAsia="Cambria" w:hAnsi="Cambria"/>
          <w:b/>
          <w:bCs/>
          <w:sz w:val="22"/>
          <w:szCs w:val="22"/>
        </w:rPr>
        <w:t xml:space="preserve">Status of This Document</w:t>
      </w:r>
    </w:p>
    <w:p>
      <w:pPr>
        <w:spacing w:after="240"/>
        <w:jc w:val="center"/>
      </w:pPr>
      <w:r>
        <w:rPr>
          <w:rFonts w:ascii="Cambria" w:cs="Cambria" w:eastAsia="Cambria" w:hAnsi="Cambria"/>
          <w:i/>
          <w:iCs/>
          <w:sz w:val="20"/>
          <w:szCs w:val="20"/>
        </w:rPr>
        <w:t xml:space="preserve">This document specifies the registry of operator family identifiers used by EOC-1 v0.2's pipeline stages. Operator families are how the substrate names what kind of work an operator does, distinct from how a particular implementation does it. The registry is normative for capability descriptors, dispatch decisions, and certificate reporting. Distribution is unlimited.</w:t>
      </w:r>
    </w:p>
    <w:p>
      <w:r>
        <w:br w:type="page"/>
      </w:r>
    </w:p>
    <w:p>
      <w:pPr>
        <w:pStyle w:val="Heading1"/>
        <w:spacing w:after="180" w:before="360"/>
      </w:pPr>
      <w:r>
        <w:rPr>
          <w:rFonts w:ascii="Cambria" w:cs="Cambria" w:eastAsia="Cambria" w:hAnsi="Cambria"/>
          <w:b/>
          <w:bCs/>
          <w:sz w:val="30"/>
          <w:szCs w:val="30"/>
        </w:rPr>
        <w:t xml:space="preserve">1. Introduction</w:t>
      </w:r>
    </w:p>
    <w:p>
      <w:pPr>
        <w:pStyle w:val="Heading2"/>
        <w:spacing w:after="140" w:before="280"/>
      </w:pPr>
      <w:r>
        <w:rPr>
          <w:rFonts w:ascii="Cambria" w:cs="Cambria" w:eastAsia="Cambria" w:hAnsi="Cambria"/>
          <w:b/>
          <w:bCs/>
          <w:sz w:val="26"/>
          <w:szCs w:val="26"/>
        </w:rPr>
        <w:t xml:space="preserve">1.1. Purpose</w:t>
      </w:r>
    </w:p>
    <w:p>
      <w:pPr>
        <w:spacing w:after="120" w:line="280"/>
        <w:jc w:val="both"/>
      </w:pPr>
      <w:r>
        <w:rPr>
          <w:rFonts w:ascii="Cambria" w:cs="Cambria" w:eastAsia="Cambria" w:hAnsi="Cambria"/>
          <w:sz w:val="22"/>
          <w:szCs w:val="22"/>
        </w:rPr>
        <w:t xml:space="preserve">EOC-1 v0.2 §5.2 enumerates six refine-stage operator families and EOC-1 v0.2 §4.1 enumerates four retrieve-stage families. The names in those sections are descriptive, not normative: 'tiny recursive network', 'constrained search', 'LLM-in-loop'. For implementations to interoperate — for a capability descriptor to mean the same thing across two independent vendors, for a certificate's tier_distribution field to be comparable — those names need stable identifiers, version semantics, and conformance criteria. EOC-5 specifies them.</w:t>
      </w:r>
    </w:p>
    <w:p>
      <w:pPr>
        <w:pStyle w:val="Heading2"/>
        <w:spacing w:after="140" w:before="280"/>
      </w:pPr>
      <w:r>
        <w:rPr>
          <w:rFonts w:ascii="Cambria" w:cs="Cambria" w:eastAsia="Cambria" w:hAnsi="Cambria"/>
          <w:b/>
          <w:bCs/>
          <w:sz w:val="26"/>
          <w:szCs w:val="26"/>
        </w:rPr>
        <w:t xml:space="preserve">1.2. What Counts as an Operator Family</w:t>
      </w:r>
    </w:p>
    <w:p>
      <w:pPr>
        <w:spacing w:after="120" w:line="280"/>
        <w:jc w:val="both"/>
      </w:pPr>
      <w:r>
        <w:rPr>
          <w:rFonts w:ascii="Cambria" w:cs="Cambria" w:eastAsia="Cambria" w:hAnsi="Cambria"/>
          <w:sz w:val="22"/>
          <w:szCs w:val="22"/>
        </w:rPr>
        <w:t xml:space="preserve">An operator family is an equivalence class of operators that share input/output contracts, determinism properties, cost characteristics, and audit semantics. Two implementations belonging to the same family MUST be substitutable from the substrate's perspective: a query that the dispatcher routes to family F can be served by any conformant operator in family F, with the dispatcher seeing the same interface, error codes, and accountability.</w:t>
      </w:r>
    </w:p>
    <w:p>
      <w:pPr>
        <w:spacing w:after="120" w:line="280"/>
        <w:jc w:val="both"/>
      </w:pPr>
      <w:r>
        <w:rPr>
          <w:rFonts w:ascii="Cambria" w:cs="Cambria" w:eastAsia="Cambria" w:hAnsi="Cambria"/>
          <w:sz w:val="22"/>
          <w:szCs w:val="22"/>
        </w:rPr>
        <w:t xml:space="preserve">Family identity is about what the operator is for, not what it is built from. A 7M-parameter TRM-class refiner and a 50M-parameter recursive transformer that both implement draft-and-revise over a latent scratchpad belong to the same family. A 7M-parameter network that does autoregressive generation belongs to a different family despite the similar parameter count.</w:t>
      </w:r>
    </w:p>
    <w:p>
      <w:pPr>
        <w:pStyle w:val="Heading2"/>
        <w:spacing w:after="140" w:before="280"/>
      </w:pPr>
      <w:r>
        <w:rPr>
          <w:rFonts w:ascii="Cambria" w:cs="Cambria" w:eastAsia="Cambria" w:hAnsi="Cambria"/>
          <w:b/>
          <w:bCs/>
          <w:sz w:val="26"/>
          <w:szCs w:val="26"/>
        </w:rPr>
        <w:t xml:space="preserve">1.3. Why a Registry</w:t>
      </w:r>
    </w:p>
    <w:p>
      <w:pPr>
        <w:spacing w:after="120" w:line="280"/>
        <w:jc w:val="both"/>
      </w:pPr>
      <w:r>
        <w:rPr>
          <w:rFonts w:ascii="Cambria" w:cs="Cambria" w:eastAsia="Cambria" w:hAnsi="Cambria"/>
          <w:sz w:val="22"/>
          <w:szCs w:val="22"/>
        </w:rPr>
        <w:t xml:space="preserve">Without a registry, the substrate's interop properties degrade in three predictable ways:</w:t>
      </w:r>
    </w:p>
    <w:p>
      <w:pPr>
        <w:pStyle w:val="ListParagraph"/>
        <w:numPr>
          <w:ilvl w:val="0"/>
          <w:numId w:val="2"/>
        </w:numPr>
        <w:spacing w:after="80" w:line="280"/>
      </w:pPr>
      <w:r>
        <w:rPr>
          <w:rFonts w:ascii="Cambria" w:cs="Cambria" w:eastAsia="Cambria" w:hAnsi="Cambria"/>
          <w:sz w:val="22"/>
          <w:szCs w:val="22"/>
        </w:rPr>
        <w:t xml:space="preserve">Capability descriptors become illegible. A node advertising 'refiner' tells a client nothing useful when 'refiner' could mean six different families with order-of-magnitude different cost profiles.</w:t>
      </w:r>
    </w:p>
    <w:p>
      <w:pPr>
        <w:pStyle w:val="ListParagraph"/>
        <w:numPr>
          <w:ilvl w:val="0"/>
          <w:numId w:val="2"/>
        </w:numPr>
        <w:spacing w:after="80" w:line="280"/>
      </w:pPr>
      <w:r>
        <w:rPr>
          <w:rFonts w:ascii="Cambria" w:cs="Cambria" w:eastAsia="Cambria" w:hAnsi="Cambria"/>
          <w:sz w:val="22"/>
          <w:szCs w:val="22"/>
        </w:rPr>
        <w:t xml:space="preserve">Certificate fields become incomparable. Certificate A claiming '90% of work resolved at refine-tiny-recursive' and certificate B claiming '90% at refine-llm-in-loop' are extremely different claims; without canonical identifiers, the difference is invisible.</w:t>
      </w:r>
    </w:p>
    <w:p>
      <w:pPr>
        <w:pStyle w:val="ListParagraph"/>
        <w:numPr>
          <w:ilvl w:val="0"/>
          <w:numId w:val="2"/>
        </w:numPr>
        <w:spacing w:after="80" w:line="280"/>
      </w:pPr>
      <w:r>
        <w:rPr>
          <w:rFonts w:ascii="Cambria" w:cs="Cambria" w:eastAsia="Cambria" w:hAnsi="Cambria"/>
          <w:sz w:val="22"/>
          <w:szCs w:val="22"/>
        </w:rPr>
        <w:t xml:space="preserve">The dispatcher's preference ordering (EOC-1 v0.2 §5.3) loses meaning. The substrate's whole steering-toward-cheap posture depends on naming the cheap-vs-expensive distinction in stable terms.</w:t>
      </w:r>
    </w:p>
    <w:p>
      <w:pPr>
        <w:pStyle w:val="Heading2"/>
        <w:spacing w:after="140" w:before="280"/>
      </w:pPr>
      <w:r>
        <w:rPr>
          <w:rFonts w:ascii="Cambria" w:cs="Cambria" w:eastAsia="Cambria" w:hAnsi="Cambria"/>
          <w:b/>
          <w:bCs/>
          <w:sz w:val="26"/>
          <w:szCs w:val="26"/>
        </w:rPr>
        <w:t xml:space="preserve">1.4. Requirements Language</w:t>
      </w:r>
    </w:p>
    <w:p>
      <w:pPr>
        <w:spacing w:after="120" w:line="280"/>
        <w:jc w:val="both"/>
      </w:pPr>
      <w:r>
        <w:rPr>
          <w:rFonts w:ascii="Cambria" w:cs="Cambria" w:eastAsia="Cambria" w:hAnsi="Cambria"/>
          <w:sz w:val="22"/>
          <w:szCs w:val="22"/>
        </w:rPr>
        <w:t xml:space="preserve">The key words MUST, MUST NOT, REQUIRED, SHALL, SHALL NOT, SHOULD, SHOULD NOT, RECOMMENDED, MAY, and OPTIONAL in this document are to be interpreted as in RFC 2119 and RFC 8174 when, and only when, they appear in all capitals.</w:t>
      </w:r>
    </w:p>
    <w:p>
      <w:pPr>
        <w:pStyle w:val="Heading1"/>
        <w:pageBreakBefore/>
        <w:spacing w:after="180" w:before="0"/>
      </w:pPr>
      <w:r>
        <w:rPr>
          <w:rFonts w:ascii="Cambria" w:cs="Cambria" w:eastAsia="Cambria" w:hAnsi="Cambria"/>
          <w:b/>
          <w:bCs/>
          <w:sz w:val="30"/>
          <w:szCs w:val="30"/>
        </w:rPr>
        <w:t xml:space="preserve">2. Identifier Format</w:t>
      </w:r>
    </w:p>
    <w:p>
      <w:pPr>
        <w:pStyle w:val="Heading2"/>
        <w:spacing w:after="140" w:before="280"/>
      </w:pPr>
      <w:r>
        <w:rPr>
          <w:rFonts w:ascii="Cambria" w:cs="Cambria" w:eastAsia="Cambria" w:hAnsi="Cambria"/>
          <w:b/>
          <w:bCs/>
          <w:sz w:val="26"/>
          <w:szCs w:val="26"/>
        </w:rPr>
        <w:t xml:space="preserve">2.1. Canonical Form</w:t>
      </w:r>
    </w:p>
    <w:p>
      <w:pPr>
        <w:spacing w:after="120" w:line="280"/>
        <w:jc w:val="both"/>
      </w:pPr>
      <w:r>
        <w:rPr>
          <w:rFonts w:ascii="Cambria" w:cs="Cambria" w:eastAsia="Cambria" w:hAnsi="Cambria"/>
          <w:sz w:val="22"/>
          <w:szCs w:val="22"/>
        </w:rPr>
        <w:t xml:space="preserve">Operator family identifiers are URI-style strings of the form:</w:t>
      </w:r>
    </w:p>
    <w:p>
      <w:pPr>
        <w:shd w:fill="F4F4F4" w:val="clear"/>
        <w:spacing w:after="140" w:before="100" w:line="260"/>
        <w:jc w:val="left"/>
      </w:pPr>
      <w:r>
        <w:rPr>
          <w:rFonts w:ascii="Consolas" w:cs="Consolas" w:eastAsia="Consolas" w:hAnsi="Consolas"/>
          <w:sz w:val="18"/>
          <w:szCs w:val="18"/>
        </w:rPr>
        <w:t xml:space="preserve">&lt;scope&gt;/&lt;stage&gt;/&lt;family&gt;/&lt;version&gt;
scope    := "eoc" | &lt;reverse-DNS namespace&gt;
stage    := "state-construct" | "retrieve" | "refine" | "check"
family   := lowercase ASCII identifier, words joined by "-"
version  := semver, with major-version stability guarantees</w:t>
      </w:r>
    </w:p>
    <w:p>
      <w:pPr>
        <w:spacing w:after="120" w:line="280"/>
        <w:jc w:val="both"/>
      </w:pPr>
      <w:r>
        <w:rPr>
          <w:rFonts w:ascii="Cambria" w:cs="Cambria" w:eastAsia="Cambria" w:hAnsi="Cambria"/>
          <w:sz w:val="22"/>
          <w:szCs w:val="22"/>
        </w:rPr>
        <w:t xml:space="preserve">Examples:</w:t>
      </w:r>
    </w:p>
    <w:p>
      <w:pPr>
        <w:pStyle w:val="ListParagraph"/>
        <w:numPr>
          <w:ilvl w:val="0"/>
          <w:numId w:val="2"/>
        </w:numPr>
        <w:spacing w:after="80" w:line="280"/>
      </w:pPr>
      <w:r>
        <w:rPr>
          <w:rFonts w:ascii="Cambria" w:cs="Cambria" w:eastAsia="Cambria" w:hAnsi="Cambria"/>
          <w:sz w:val="22"/>
          <w:szCs w:val="22"/>
        </w:rPr>
        <w:t xml:space="preserve">eoc/retrieve/lut/1 — the substrate's standard LUT operator family, major version 1.</w:t>
      </w:r>
    </w:p>
    <w:p>
      <w:pPr>
        <w:pStyle w:val="ListParagraph"/>
        <w:numPr>
          <w:ilvl w:val="0"/>
          <w:numId w:val="2"/>
        </w:numPr>
        <w:spacing w:after="80" w:line="280"/>
      </w:pPr>
      <w:r>
        <w:rPr>
          <w:rFonts w:ascii="Cambria" w:cs="Cambria" w:eastAsia="Cambria" w:hAnsi="Cambria"/>
          <w:sz w:val="22"/>
          <w:szCs w:val="22"/>
        </w:rPr>
        <w:t xml:space="preserve">eoc/refine/tiny-recursive/1 — the standard tiny-recursive-network refiner family.</w:t>
      </w:r>
    </w:p>
    <w:p>
      <w:pPr>
        <w:pStyle w:val="ListParagraph"/>
        <w:numPr>
          <w:ilvl w:val="0"/>
          <w:numId w:val="2"/>
        </w:numPr>
        <w:spacing w:after="80" w:line="280"/>
      </w:pPr>
      <w:r>
        <w:rPr>
          <w:rFonts w:ascii="Cambria" w:cs="Cambria" w:eastAsia="Cambria" w:hAnsi="Cambria"/>
          <w:sz w:val="22"/>
          <w:szCs w:val="22"/>
        </w:rPr>
        <w:t xml:space="preserve">dev.openie/refine/state-graph-explorer/1 — a custom family registered in the openie.dev namespace.</w:t>
      </w:r>
    </w:p>
    <w:p>
      <w:pPr>
        <w:pStyle w:val="Heading2"/>
        <w:spacing w:after="140" w:before="280"/>
      </w:pPr>
      <w:r>
        <w:rPr>
          <w:rFonts w:ascii="Cambria" w:cs="Cambria" w:eastAsia="Cambria" w:hAnsi="Cambria"/>
          <w:b/>
          <w:bCs/>
          <w:sz w:val="26"/>
          <w:szCs w:val="26"/>
        </w:rPr>
        <w:t xml:space="preserve">2.2. Canonical Registry Authority</w:t>
      </w:r>
    </w:p>
    <w:p>
      <w:pPr>
        <w:spacing w:after="120" w:line="280"/>
        <w:jc w:val="both"/>
      </w:pPr>
      <w:r>
        <w:rPr>
          <w:rFonts w:ascii="Cambria" w:cs="Cambria" w:eastAsia="Cambria" w:hAnsi="Cambria"/>
          <w:sz w:val="22"/>
          <w:szCs w:val="22"/>
        </w:rPr>
        <w:t xml:space="preserve">The 'eoc' scope is reserved for families canonical to the substrate. Additions to the eoc scope MUST go through the maintainer process specified in §10. Other scopes are at the discretion of their owning organizations and require no central approval — anyone may publish operator families under their own reverse-DNS namespace, and the substrate's gossip mechanics will propagate them naturally.</w:t>
      </w:r>
    </w:p>
    <w:p>
      <w:pPr>
        <w:pStyle w:val="Heading2"/>
        <w:spacing w:after="140" w:before="280"/>
      </w:pPr>
      <w:r>
        <w:rPr>
          <w:rFonts w:ascii="Cambria" w:cs="Cambria" w:eastAsia="Cambria" w:hAnsi="Cambria"/>
          <w:b/>
          <w:bCs/>
          <w:sz w:val="26"/>
          <w:szCs w:val="26"/>
        </w:rPr>
        <w:t xml:space="preserve">2.3. Version Semantics</w:t>
      </w:r>
    </w:p>
    <w:p>
      <w:pPr>
        <w:spacing w:after="120" w:line="280"/>
        <w:jc w:val="both"/>
      </w:pPr>
      <w:r>
        <w:rPr>
          <w:rFonts w:ascii="Cambria" w:cs="Cambria" w:eastAsia="Cambria" w:hAnsi="Cambria"/>
          <w:sz w:val="22"/>
          <w:szCs w:val="22"/>
        </w:rPr>
        <w:t xml:space="preserve">Family versions follow semantic versioning with these substrate-specific rules:</w:t>
      </w:r>
    </w:p>
    <w:p>
      <w:pPr>
        <w:pStyle w:val="ListParagraph"/>
        <w:numPr>
          <w:ilvl w:val="0"/>
          <w:numId w:val="2"/>
        </w:numPr>
        <w:spacing w:after="80" w:line="280"/>
      </w:pPr>
      <w:r>
        <w:rPr>
          <w:rFonts w:ascii="Cambria" w:cs="Cambria" w:eastAsia="Cambria" w:hAnsi="Cambria"/>
          <w:sz w:val="22"/>
          <w:szCs w:val="22"/>
        </w:rPr>
        <w:t xml:space="preserve">Major version bumps signal a contract-breaking change to the family's interface, determinism properties, or cost characteristics. Implementations of major version N are NOT substitutable for those of major version N-1.</w:t>
      </w:r>
    </w:p>
    <w:p>
      <w:pPr>
        <w:pStyle w:val="ListParagraph"/>
        <w:numPr>
          <w:ilvl w:val="0"/>
          <w:numId w:val="2"/>
        </w:numPr>
        <w:spacing w:after="80" w:line="280"/>
      </w:pPr>
      <w:r>
        <w:rPr>
          <w:rFonts w:ascii="Cambria" w:cs="Cambria" w:eastAsia="Cambria" w:hAnsi="Cambria"/>
          <w:sz w:val="22"/>
          <w:szCs w:val="22"/>
        </w:rPr>
        <w:t xml:space="preserve">Minor version bumps signal additive changes that preserve substitutability. New optional configuration parameters, expanded error codes, performance improvements that stay within the existing envelope.</w:t>
      </w:r>
    </w:p>
    <w:p>
      <w:pPr>
        <w:pStyle w:val="ListParagraph"/>
        <w:numPr>
          <w:ilvl w:val="0"/>
          <w:numId w:val="2"/>
        </w:numPr>
        <w:spacing w:after="80" w:line="280"/>
      </w:pPr>
      <w:r>
        <w:rPr>
          <w:rFonts w:ascii="Cambria" w:cs="Cambria" w:eastAsia="Cambria" w:hAnsi="Cambria"/>
          <w:sz w:val="22"/>
          <w:szCs w:val="22"/>
        </w:rPr>
        <w:t xml:space="preserve">Patch version bumps signal bug fixes that do not change behavior on conformant inputs.</w:t>
      </w:r>
    </w:p>
    <w:p>
      <w:pPr>
        <w:spacing w:after="120" w:line="280"/>
        <w:jc w:val="both"/>
      </w:pPr>
      <w:r>
        <w:rPr>
          <w:rFonts w:ascii="Cambria" w:cs="Cambria" w:eastAsia="Cambria" w:hAnsi="Cambria"/>
          <w:sz w:val="22"/>
          <w:szCs w:val="22"/>
        </w:rPr>
        <w:t xml:space="preserve">Capability descriptors MUST advertise full versions (major.minor.patch). Dispatch routing MAY use only the major version to find candidates. The minor and patch versions inform reputation and quality tracking but do not affect routing.</w:t>
      </w:r>
    </w:p>
    <w:p>
      <w:pPr>
        <w:pStyle w:val="Heading1"/>
        <w:pageBreakBefore/>
        <w:spacing w:after="180" w:before="0"/>
      </w:pPr>
      <w:r>
        <w:rPr>
          <w:rFonts w:ascii="Cambria" w:cs="Cambria" w:eastAsia="Cambria" w:hAnsi="Cambria"/>
          <w:b/>
          <w:bCs/>
          <w:sz w:val="30"/>
          <w:szCs w:val="30"/>
        </w:rPr>
        <w:t xml:space="preserve">3. Family Descriptor</w:t>
      </w:r>
    </w:p>
    <w:p>
      <w:pPr>
        <w:spacing w:after="120" w:line="280"/>
        <w:jc w:val="both"/>
      </w:pPr>
      <w:r>
        <w:rPr>
          <w:rFonts w:ascii="Cambria" w:cs="Cambria" w:eastAsia="Cambria" w:hAnsi="Cambria"/>
          <w:sz w:val="22"/>
          <w:szCs w:val="22"/>
        </w:rPr>
        <w:t xml:space="preserve">Each registered operator family is described by a structured document:</w:t>
      </w:r>
    </w:p>
    <w:p>
      <w:pPr>
        <w:shd w:fill="F4F4F4" w:val="clear"/>
        <w:spacing w:after="140" w:before="100" w:line="260"/>
        <w:jc w:val="left"/>
      </w:pPr>
      <w:r>
        <w:rPr>
          <w:rFonts w:ascii="Consolas" w:cs="Consolas" w:eastAsia="Consolas" w:hAnsi="Consolas"/>
          <w:sz w:val="18"/>
          <w:szCs w:val="18"/>
        </w:rPr>
        <w:t xml:space="preserve">FamilyDescriptor {
  identifier:           OperatorFamilyURI    // "eoc/refine/tiny-recursive/1"
  name:                 String               // human-readable
  description:          String               // 1-3 paragraphs
  stage:                Stage                // which pipeline stage
  semantics:            Semantics            // what the family does
  interface: {
    input_schema:       JSONSchema
    output_schema:      JSONSchema
    error_codes:        [String]             // closed enumeration
    side_effects:       [SideEffect]         // declared mutations of WorkingState
  }
  determinism: {
    deterministic:      bool
    seed_required:      bool                 // if non-deterministic, seed makes deterministic
    cross_impl_stable:  bool                 // bit-identical across conformant impls
  }
  cost: {
    typical_joules:     Range
    typical_wall_ms:    Range
    monotonic_in:       [Parameter]          // factors that scale cost predictably
  }
  conformance: {
    test_vector_hash:   ContentHash          // canonical test vectors
    reference_impl:     URI?                 // optional reference implementation
  }
  governance: {
    maintainers:        [PublicKey]
    successor:          OperatorFamilyURI?   // if deprecated
    deprecated:         bool
  }
}</w:t>
      </w:r>
    </w:p>
    <w:p>
      <w:pPr>
        <w:pStyle w:val="Heading2"/>
        <w:spacing w:after="140" w:before="280"/>
      </w:pPr>
      <w:r>
        <w:rPr>
          <w:rFonts w:ascii="Cambria" w:cs="Cambria" w:eastAsia="Cambria" w:hAnsi="Cambria"/>
          <w:b/>
          <w:bCs/>
          <w:sz w:val="26"/>
          <w:szCs w:val="26"/>
        </w:rPr>
        <w:t xml:space="preserve">3.1. Side Effects on Working State</w:t>
      </w:r>
    </w:p>
    <w:p>
      <w:pPr>
        <w:spacing w:after="120" w:line="280"/>
        <w:jc w:val="both"/>
      </w:pPr>
      <w:r>
        <w:rPr>
          <w:rFonts w:ascii="Cambria" w:cs="Cambria" w:eastAsia="Cambria" w:hAnsi="Cambria"/>
          <w:sz w:val="22"/>
          <w:szCs w:val="22"/>
        </w:rPr>
        <w:t xml:space="preserve">Every family MUST declare statically which fields of working state it reads and writes. The dispatcher enforces these declarations. An operator that writes to a field its family does not declare is non-conformant and reputation-degrades. Common declarations:</w:t>
      </w:r>
    </w:p>
    <w:p>
      <w:pPr>
        <w:pStyle w:val="ListParagraph"/>
        <w:numPr>
          <w:ilvl w:val="0"/>
          <w:numId w:val="2"/>
        </w:numPr>
        <w:spacing w:after="80" w:line="280"/>
      </w:pPr>
      <w:r>
        <w:rPr>
          <w:rFonts w:ascii="Cambria" w:cs="Cambria" w:eastAsia="Cambria" w:hAnsi="Cambria"/>
          <w:sz w:val="22"/>
          <w:szCs w:val="22"/>
        </w:rPr>
        <w:t xml:space="preserve">retrieve operators write to context, append to provenance, decrement energy_budget.</w:t>
      </w:r>
    </w:p>
    <w:p>
      <w:pPr>
        <w:pStyle w:val="ListParagraph"/>
        <w:numPr>
          <w:ilvl w:val="0"/>
          <w:numId w:val="2"/>
        </w:numPr>
        <w:spacing w:after="80" w:line="280"/>
      </w:pPr>
      <w:r>
        <w:rPr>
          <w:rFonts w:ascii="Cambria" w:cs="Cambria" w:eastAsia="Cambria" w:hAnsi="Cambria"/>
          <w:sz w:val="22"/>
          <w:szCs w:val="22"/>
        </w:rPr>
        <w:t xml:space="preserve">refine operators write to candidate, append to provenance and history, decrement energy_budget and step_budget.</w:t>
      </w:r>
    </w:p>
    <w:p>
      <w:pPr>
        <w:pStyle w:val="ListParagraph"/>
        <w:numPr>
          <w:ilvl w:val="0"/>
          <w:numId w:val="2"/>
        </w:numPr>
        <w:spacing w:after="80" w:line="280"/>
      </w:pPr>
      <w:r>
        <w:rPr>
          <w:rFonts w:ascii="Cambria" w:cs="Cambria" w:eastAsia="Cambria" w:hAnsi="Cambria"/>
          <w:sz w:val="22"/>
          <w:szCs w:val="22"/>
        </w:rPr>
        <w:t xml:space="preserve">check operators read everything, write only to history. Check is the read-mostly stage.</w:t>
      </w:r>
    </w:p>
    <w:p>
      <w:pPr>
        <w:pStyle w:val="Heading2"/>
        <w:spacing w:after="140" w:before="280"/>
      </w:pPr>
      <w:r>
        <w:rPr>
          <w:rFonts w:ascii="Cambria" w:cs="Cambria" w:eastAsia="Cambria" w:hAnsi="Cambria"/>
          <w:b/>
          <w:bCs/>
          <w:sz w:val="26"/>
          <w:szCs w:val="26"/>
        </w:rPr>
        <w:t xml:space="preserve">3.2. Determinism Trichotomy</w:t>
      </w:r>
    </w:p>
    <w:p>
      <w:pPr>
        <w:spacing w:after="120" w:line="280"/>
        <w:jc w:val="both"/>
      </w:pPr>
      <w:r>
        <w:rPr>
          <w:rFonts w:ascii="Cambria" w:cs="Cambria" w:eastAsia="Cambria" w:hAnsi="Cambria"/>
          <w:sz w:val="22"/>
          <w:szCs w:val="22"/>
        </w:rPr>
        <w:t xml:space="preserve">Families fall into one of three determinism classes:</w:t>
      </w:r>
    </w:p>
    <w:p>
      <w:pPr>
        <w:pStyle w:val="ListParagraph"/>
        <w:numPr>
          <w:ilvl w:val="0"/>
          <w:numId w:val="2"/>
        </w:numPr>
        <w:spacing w:after="80" w:line="280"/>
      </w:pPr>
      <w:r>
        <w:rPr>
          <w:rFonts w:ascii="Cambria" w:cs="Cambria" w:eastAsia="Cambria" w:hAnsi="Cambria"/>
          <w:sz w:val="22"/>
          <w:szCs w:val="22"/>
        </w:rPr>
        <w:t xml:space="preserve">Strictly deterministic: identical inputs always produce identical outputs across all conformant implementations. LUT, KG, schema validation.</w:t>
      </w:r>
    </w:p>
    <w:p>
      <w:pPr>
        <w:pStyle w:val="ListParagraph"/>
        <w:numPr>
          <w:ilvl w:val="0"/>
          <w:numId w:val="2"/>
        </w:numPr>
        <w:spacing w:after="80" w:line="280"/>
      </w:pPr>
      <w:r>
        <w:rPr>
          <w:rFonts w:ascii="Cambria" w:cs="Cambria" w:eastAsia="Cambria" w:hAnsi="Cambria"/>
          <w:sz w:val="22"/>
          <w:szCs w:val="22"/>
        </w:rPr>
        <w:t xml:space="preserve">Seed-deterministic: identical (inputs, seed) produce identical outputs. Tiny recursive networks, constrained search with random tie-breaking.</w:t>
      </w:r>
    </w:p>
    <w:p>
      <w:pPr>
        <w:pStyle w:val="ListParagraph"/>
        <w:numPr>
          <w:ilvl w:val="0"/>
          <w:numId w:val="2"/>
        </w:numPr>
        <w:spacing w:after="80" w:line="280"/>
      </w:pPr>
      <w:r>
        <w:rPr>
          <w:rFonts w:ascii="Cambria" w:cs="Cambria" w:eastAsia="Cambria" w:hAnsi="Cambria"/>
          <w:sz w:val="22"/>
          <w:szCs w:val="22"/>
        </w:rPr>
        <w:t xml:space="preserve">Stochastic: outputs depend on factors not captured in the protocol's input model. LLM-in-loop with implementation-specific sampling.</w:t>
      </w:r>
    </w:p>
    <w:p>
      <w:pPr>
        <w:spacing w:after="120" w:line="280"/>
        <w:jc w:val="both"/>
      </w:pPr>
      <w:r>
        <w:rPr>
          <w:rFonts w:ascii="Cambria" w:cs="Cambria" w:eastAsia="Cambria" w:hAnsi="Cambria"/>
          <w:sz w:val="22"/>
          <w:szCs w:val="22"/>
        </w:rPr>
        <w:t xml:space="preserve">Strictly deterministic and seed-deterministic families are substrate-preferred. Stochastic families are permitted but bear an extra burden: their results are not reproducible, so attestation (EOC-2 §9.2) is harder, and reputation tracking carries more weight in trust calculations.</w:t>
      </w:r>
    </w:p>
    <w:p>
      <w:pPr>
        <w:pStyle w:val="Heading1"/>
        <w:pageBreakBefore/>
        <w:spacing w:after="180" w:before="0"/>
      </w:pPr>
      <w:r>
        <w:rPr>
          <w:rFonts w:ascii="Cambria" w:cs="Cambria" w:eastAsia="Cambria" w:hAnsi="Cambria"/>
          <w:b/>
          <w:bCs/>
          <w:sz w:val="30"/>
          <w:szCs w:val="30"/>
        </w:rPr>
        <w:t xml:space="preserve">4. Canonical Families (eoc scope)</w:t>
      </w:r>
    </w:p>
    <w:p>
      <w:pPr>
        <w:spacing w:after="120" w:line="280"/>
        <w:jc w:val="both"/>
      </w:pPr>
      <w:r>
        <w:rPr>
          <w:rFonts w:ascii="Cambria" w:cs="Cambria" w:eastAsia="Cambria" w:hAnsi="Cambria"/>
          <w:sz w:val="22"/>
          <w:szCs w:val="22"/>
        </w:rPr>
        <w:t xml:space="preserve">The substrate ships with the following operator families in the eoc scope. Each is described in summary here; full normative descriptors are published as content-addressed artifacts at the URIs given.</w:t>
      </w:r>
    </w:p>
    <w:p>
      <w:pPr>
        <w:pStyle w:val="Heading2"/>
        <w:spacing w:after="140" w:before="280"/>
      </w:pPr>
      <w:r>
        <w:rPr>
          <w:rFonts w:ascii="Cambria" w:cs="Cambria" w:eastAsia="Cambria" w:hAnsi="Cambria"/>
          <w:b/>
          <w:bCs/>
          <w:sz w:val="26"/>
          <w:szCs w:val="26"/>
        </w:rPr>
        <w:t xml:space="preserve">4.1. State-Construct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2160"/>
      </w:tblGrid>
      <w:tr>
        <w:trPr>
          <w:tblHeader/>
        </w:trPr>
        <w:tc>
          <w:tcPr>
            <w:tcW w:type="dxa" w:w="360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left"/>
            </w:pPr>
            <w:r>
              <w:rPr>
                <w:rFonts w:ascii="Cambria" w:cs="Cambria" w:eastAsia="Cambria" w:hAnsi="Cambria"/>
                <w:b/>
                <w:bCs/>
                <w:sz w:val="20"/>
                <w:szCs w:val="20"/>
              </w:rPr>
              <w:t xml:space="preserve">Identifier</w:t>
            </w:r>
          </w:p>
        </w:tc>
        <w:tc>
          <w:tcPr>
            <w:tcW w:type="dxa" w:w="180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center"/>
            </w:pPr>
            <w:r>
              <w:rPr>
                <w:rFonts w:ascii="Cambria" w:cs="Cambria" w:eastAsia="Cambria" w:hAnsi="Cambria"/>
                <w:b/>
                <w:bCs/>
                <w:sz w:val="20"/>
                <w:szCs w:val="20"/>
              </w:rPr>
              <w:t xml:space="preserve">Determinism</w:t>
            </w:r>
          </w:p>
        </w:tc>
        <w:tc>
          <w:tcPr>
            <w:tcW w:type="dxa" w:w="180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center"/>
            </w:pPr>
            <w:r>
              <w:rPr>
                <w:rFonts w:ascii="Cambria" w:cs="Cambria" w:eastAsia="Cambria" w:hAnsi="Cambria"/>
                <w:b/>
                <w:bCs/>
                <w:sz w:val="20"/>
                <w:szCs w:val="20"/>
              </w:rPr>
              <w:t xml:space="preserve">Typical Cost</w:t>
            </w:r>
          </w:p>
        </w:tc>
        <w:tc>
          <w:tcPr>
            <w:tcW w:type="dxa" w:w="216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left"/>
            </w:pPr>
            <w:r>
              <w:rPr>
                <w:rFonts w:ascii="Cambria" w:cs="Cambria" w:eastAsia="Cambria" w:hAnsi="Cambria"/>
                <w:b/>
                <w:bCs/>
                <w:sz w:val="20"/>
                <w:szCs w:val="20"/>
              </w:rPr>
              <w:t xml:space="preserve">Use</w:t>
            </w:r>
          </w:p>
        </w:tc>
      </w:tr>
      <w:tr>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eoc/state-construct/parser/1</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Strict</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 100 nJ</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Schema-typed query parsing</w:t>
            </w:r>
          </w:p>
        </w:tc>
      </w:tr>
      <w:tr>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eoc/state-construct/pattern-typer/1</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Strict</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 1 μJ</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Regex/grammar-based type tagging</w:t>
            </w:r>
          </w:p>
        </w:tc>
      </w:tr>
      <w:tr>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eoc/state-construct/specialist-typer/1</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Strict (small classifier)</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 100 μJ</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Untyped-input classification</w:t>
            </w:r>
          </w:p>
        </w:tc>
      </w:tr>
    </w:tbl>
    <w:p>
      <w:pPr>
        <w:pStyle w:val="Heading2"/>
        <w:spacing w:after="140" w:before="280"/>
      </w:pPr>
      <w:r>
        <w:rPr>
          <w:rFonts w:ascii="Cambria" w:cs="Cambria" w:eastAsia="Cambria" w:hAnsi="Cambria"/>
          <w:b/>
          <w:bCs/>
          <w:sz w:val="26"/>
          <w:szCs w:val="26"/>
        </w:rPr>
        <w:t xml:space="preserve">4.2. Retrieve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2160"/>
      </w:tblGrid>
      <w:tr>
        <w:trPr>
          <w:tblHeader/>
        </w:trPr>
        <w:tc>
          <w:tcPr>
            <w:tcW w:type="dxa" w:w="360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left"/>
            </w:pPr>
            <w:r>
              <w:rPr>
                <w:rFonts w:ascii="Cambria" w:cs="Cambria" w:eastAsia="Cambria" w:hAnsi="Cambria"/>
                <w:b/>
                <w:bCs/>
                <w:sz w:val="20"/>
                <w:szCs w:val="20"/>
              </w:rPr>
              <w:t xml:space="preserve">Identifier</w:t>
            </w:r>
          </w:p>
        </w:tc>
        <w:tc>
          <w:tcPr>
            <w:tcW w:type="dxa" w:w="180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center"/>
            </w:pPr>
            <w:r>
              <w:rPr>
                <w:rFonts w:ascii="Cambria" w:cs="Cambria" w:eastAsia="Cambria" w:hAnsi="Cambria"/>
                <w:b/>
                <w:bCs/>
                <w:sz w:val="20"/>
                <w:szCs w:val="20"/>
              </w:rPr>
              <w:t xml:space="preserve">Determinism</w:t>
            </w:r>
          </w:p>
        </w:tc>
        <w:tc>
          <w:tcPr>
            <w:tcW w:type="dxa" w:w="180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center"/>
            </w:pPr>
            <w:r>
              <w:rPr>
                <w:rFonts w:ascii="Cambria" w:cs="Cambria" w:eastAsia="Cambria" w:hAnsi="Cambria"/>
                <w:b/>
                <w:bCs/>
                <w:sz w:val="20"/>
                <w:szCs w:val="20"/>
              </w:rPr>
              <w:t xml:space="preserve">Typical Cost</w:t>
            </w:r>
          </w:p>
        </w:tc>
        <w:tc>
          <w:tcPr>
            <w:tcW w:type="dxa" w:w="216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left"/>
            </w:pPr>
            <w:r>
              <w:rPr>
                <w:rFonts w:ascii="Cambria" w:cs="Cambria" w:eastAsia="Cambria" w:hAnsi="Cambria"/>
                <w:b/>
                <w:bCs/>
                <w:sz w:val="20"/>
                <w:szCs w:val="20"/>
              </w:rPr>
              <w:t xml:space="preserve">Use</w:t>
            </w:r>
          </w:p>
        </w:tc>
      </w:tr>
      <w:tr>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eoc/retrieve/lut/1</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Strict</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 1 μJ</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Content-addressed lookup</w:t>
            </w:r>
          </w:p>
        </w:tc>
      </w:tr>
      <w:tr>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eoc/retrieve/kg-dcy/1</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Strict</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 10 μJ</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Knowledge-graph traversal (EOC-4)</w:t>
            </w:r>
          </w:p>
        </w:tc>
      </w:tr>
      <w:tr>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eoc/retrieve/vector-ann/1</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Strict (index-version pinned)</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 100 μJ</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Approximate nearest neighbor</w:t>
            </w:r>
          </w:p>
        </w:tc>
      </w:tr>
      <w:tr>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eoc/retrieve/document-store/1</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Strict</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 50 μJ</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Content-addressed document fetch</w:t>
            </w:r>
          </w:p>
        </w:tc>
      </w:tr>
    </w:tbl>
    <w:p>
      <w:pPr>
        <w:pStyle w:val="Heading2"/>
        <w:spacing w:after="140" w:before="280"/>
      </w:pPr>
      <w:r>
        <w:rPr>
          <w:rFonts w:ascii="Cambria" w:cs="Cambria" w:eastAsia="Cambria" w:hAnsi="Cambria"/>
          <w:b/>
          <w:bCs/>
          <w:sz w:val="26"/>
          <w:szCs w:val="26"/>
        </w:rPr>
        <w:t xml:space="preserve">4.3. Refine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2160"/>
      </w:tblGrid>
      <w:tr>
        <w:trPr>
          <w:tblHeader/>
        </w:trPr>
        <w:tc>
          <w:tcPr>
            <w:tcW w:type="dxa" w:w="360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left"/>
            </w:pPr>
            <w:r>
              <w:rPr>
                <w:rFonts w:ascii="Cambria" w:cs="Cambria" w:eastAsia="Cambria" w:hAnsi="Cambria"/>
                <w:b/>
                <w:bCs/>
                <w:sz w:val="20"/>
                <w:szCs w:val="20"/>
              </w:rPr>
              <w:t xml:space="preserve">Identifier</w:t>
            </w:r>
          </w:p>
        </w:tc>
        <w:tc>
          <w:tcPr>
            <w:tcW w:type="dxa" w:w="180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center"/>
            </w:pPr>
            <w:r>
              <w:rPr>
                <w:rFonts w:ascii="Cambria" w:cs="Cambria" w:eastAsia="Cambria" w:hAnsi="Cambria"/>
                <w:b/>
                <w:bCs/>
                <w:sz w:val="20"/>
                <w:szCs w:val="20"/>
              </w:rPr>
              <w:t xml:space="preserve">Determinism</w:t>
            </w:r>
          </w:p>
        </w:tc>
        <w:tc>
          <w:tcPr>
            <w:tcW w:type="dxa" w:w="180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center"/>
            </w:pPr>
            <w:r>
              <w:rPr>
                <w:rFonts w:ascii="Cambria" w:cs="Cambria" w:eastAsia="Cambria" w:hAnsi="Cambria"/>
                <w:b/>
                <w:bCs/>
                <w:sz w:val="20"/>
                <w:szCs w:val="20"/>
              </w:rPr>
              <w:t xml:space="preserve">Typical Cost</w:t>
            </w:r>
          </w:p>
        </w:tc>
        <w:tc>
          <w:tcPr>
            <w:tcW w:type="dxa" w:w="216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left"/>
            </w:pPr>
            <w:r>
              <w:rPr>
                <w:rFonts w:ascii="Cambria" w:cs="Cambria" w:eastAsia="Cambria" w:hAnsi="Cambria"/>
                <w:b/>
                <w:bCs/>
                <w:sz w:val="20"/>
                <w:szCs w:val="20"/>
              </w:rPr>
              <w:t xml:space="preserve">Use</w:t>
            </w:r>
          </w:p>
        </w:tc>
      </w:tr>
      <w:tr>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eoc/refine/deterministic-sm/1</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Strict</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 1 mJ</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HSM-encoded refinement</w:t>
            </w:r>
          </w:p>
        </w:tc>
      </w:tr>
      <w:tr>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eoc/refine/local-search/1</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Seed</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 50 mJ</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Perturb-evaluate-accept</w:t>
            </w:r>
          </w:p>
        </w:tc>
      </w:tr>
      <w:tr>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eoc/refine/state-graph/1</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Strict</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 100 mJ</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Observed-transition graph</w:t>
            </w:r>
          </w:p>
        </w:tc>
      </w:tr>
      <w:tr>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eoc/refine/constrained-search/1</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Strict</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 200 mJ</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Beam / A* / branch-and-bound</w:t>
            </w:r>
          </w:p>
        </w:tc>
      </w:tr>
      <w:tr>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eoc/refine/tiny-recursive/1</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Seed</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 500 mJ</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TRM-class draft-and-revise</w:t>
            </w:r>
          </w:p>
        </w:tc>
      </w:tr>
      <w:tr>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eoc/refine/llm-in-loop/1</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Seed (with caveats)</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 5 J</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LLM with constraint-driven retry</w:t>
            </w:r>
          </w:p>
        </w:tc>
      </w:tr>
    </w:tbl>
    <w:p>
      <w:pPr>
        <w:spacing w:after="120" w:line="280"/>
        <w:jc w:val="both"/>
      </w:pPr>
      <w:r>
        <w:rPr>
          <w:rFonts w:ascii="Cambria" w:cs="Cambria" w:eastAsia="Cambria" w:hAnsi="Cambria"/>
          <w:sz w:val="22"/>
          <w:szCs w:val="22"/>
        </w:rPr>
        <w:t xml:space="preserve"/>
      </w:r>
    </w:p>
    <w:p>
      <w:pPr>
        <w:spacing w:after="120" w:line="280"/>
        <w:jc w:val="both"/>
      </w:pPr>
      <w:r>
        <w:rPr>
          <w:rFonts w:ascii="Cambria" w:cs="Cambria" w:eastAsia="Cambria" w:hAnsi="Cambria"/>
          <w:sz w:val="22"/>
          <w:szCs w:val="22"/>
        </w:rPr>
        <w:t xml:space="preserve">The cost ordering of refine families is the substrate's preference signal (EOC-1 v0.2 §5.3). Implementations SHOULD prefer the cheapest family that can satisfy the constraint set for a given query type. The dispatcher's policy MAY select more expensive families when cheaper ones have failed or when the query type's specification declares an explicit family preference.</w:t>
      </w:r>
    </w:p>
    <w:p>
      <w:pPr>
        <w:pStyle w:val="Heading2"/>
        <w:spacing w:after="140" w:before="280"/>
      </w:pPr>
      <w:r>
        <w:rPr>
          <w:rFonts w:ascii="Cambria" w:cs="Cambria" w:eastAsia="Cambria" w:hAnsi="Cambria"/>
          <w:b/>
          <w:bCs/>
          <w:sz w:val="26"/>
          <w:szCs w:val="26"/>
        </w:rPr>
        <w:t xml:space="preserve">4.4. Check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2160"/>
      </w:tblGrid>
      <w:tr>
        <w:trPr>
          <w:tblHeader/>
        </w:trPr>
        <w:tc>
          <w:tcPr>
            <w:tcW w:type="dxa" w:w="360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left"/>
            </w:pPr>
            <w:r>
              <w:rPr>
                <w:rFonts w:ascii="Cambria" w:cs="Cambria" w:eastAsia="Cambria" w:hAnsi="Cambria"/>
                <w:b/>
                <w:bCs/>
                <w:sz w:val="20"/>
                <w:szCs w:val="20"/>
              </w:rPr>
              <w:t xml:space="preserve">Identifier</w:t>
            </w:r>
          </w:p>
        </w:tc>
        <w:tc>
          <w:tcPr>
            <w:tcW w:type="dxa" w:w="180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center"/>
            </w:pPr>
            <w:r>
              <w:rPr>
                <w:rFonts w:ascii="Cambria" w:cs="Cambria" w:eastAsia="Cambria" w:hAnsi="Cambria"/>
                <w:b/>
                <w:bCs/>
                <w:sz w:val="20"/>
                <w:szCs w:val="20"/>
              </w:rPr>
              <w:t xml:space="preserve">Determinism</w:t>
            </w:r>
          </w:p>
        </w:tc>
        <w:tc>
          <w:tcPr>
            <w:tcW w:type="dxa" w:w="180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center"/>
            </w:pPr>
            <w:r>
              <w:rPr>
                <w:rFonts w:ascii="Cambria" w:cs="Cambria" w:eastAsia="Cambria" w:hAnsi="Cambria"/>
                <w:b/>
                <w:bCs/>
                <w:sz w:val="20"/>
                <w:szCs w:val="20"/>
              </w:rPr>
              <w:t xml:space="preserve">Typical Cost</w:t>
            </w:r>
          </w:p>
        </w:tc>
        <w:tc>
          <w:tcPr>
            <w:tcW w:type="dxa" w:w="216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left"/>
            </w:pPr>
            <w:r>
              <w:rPr>
                <w:rFonts w:ascii="Cambria" w:cs="Cambria" w:eastAsia="Cambria" w:hAnsi="Cambria"/>
                <w:b/>
                <w:bCs/>
                <w:sz w:val="20"/>
                <w:szCs w:val="20"/>
              </w:rPr>
              <w:t xml:space="preserve">Use</w:t>
            </w:r>
          </w:p>
        </w:tc>
      </w:tr>
      <w:tr>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eoc/check/schema/1</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Strict</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 1 μJ</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JSON-Schema validation</w:t>
            </w:r>
          </w:p>
        </w:tc>
      </w:tr>
      <w:tr>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eoc/check/constraint-eval/1</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Strict</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 10 μJ</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Eval-001 §4.2 constraint language</w:t>
            </w:r>
          </w:p>
        </w:tc>
      </w:tr>
      <w:tr>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eoc/check/provenance-verify/1</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Strict</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 5 μJ</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Verify upstream provenance signatures</w:t>
            </w:r>
          </w:p>
        </w:tc>
      </w:tr>
    </w:tbl>
    <w:p>
      <w:pPr>
        <w:pStyle w:val="Heading1"/>
        <w:pageBreakBefore/>
        <w:spacing w:after="180" w:before="0"/>
      </w:pPr>
      <w:r>
        <w:rPr>
          <w:rFonts w:ascii="Cambria" w:cs="Cambria" w:eastAsia="Cambria" w:hAnsi="Cambria"/>
          <w:b/>
          <w:bCs/>
          <w:sz w:val="30"/>
          <w:szCs w:val="30"/>
        </w:rPr>
        <w:t xml:space="preserve">5. Conformance Testing</w:t>
      </w:r>
    </w:p>
    <w:p>
      <w:pPr>
        <w:pStyle w:val="Heading2"/>
        <w:spacing w:after="140" w:before="280"/>
      </w:pPr>
      <w:r>
        <w:rPr>
          <w:rFonts w:ascii="Cambria" w:cs="Cambria" w:eastAsia="Cambria" w:hAnsi="Cambria"/>
          <w:b/>
          <w:bCs/>
          <w:sz w:val="26"/>
          <w:szCs w:val="26"/>
        </w:rPr>
        <w:t xml:space="preserve">5.1. Test Vectors</w:t>
      </w:r>
    </w:p>
    <w:p>
      <w:pPr>
        <w:spacing w:after="120" w:line="280"/>
        <w:jc w:val="both"/>
      </w:pPr>
      <w:r>
        <w:rPr>
          <w:rFonts w:ascii="Cambria" w:cs="Cambria" w:eastAsia="Cambria" w:hAnsi="Cambria"/>
          <w:sz w:val="22"/>
          <w:szCs w:val="22"/>
        </w:rPr>
        <w:t xml:space="preserve">Each canonical operator family ships with a conformance test vector suite. The suite is a content-addressed artifact (EOC-3 category 'corpus' with format_hint kind 'conformance-test-suite') consisting of:</w:t>
      </w:r>
    </w:p>
    <w:p>
      <w:pPr>
        <w:pStyle w:val="ListParagraph"/>
        <w:numPr>
          <w:ilvl w:val="0"/>
          <w:numId w:val="2"/>
        </w:numPr>
        <w:spacing w:after="80" w:line="280"/>
      </w:pPr>
      <w:r>
        <w:rPr>
          <w:rFonts w:ascii="Cambria" w:cs="Cambria" w:eastAsia="Cambria" w:hAnsi="Cambria"/>
          <w:sz w:val="22"/>
          <w:szCs w:val="22"/>
        </w:rPr>
        <w:t xml:space="preserve">Input fixtures: typed working states the operator must handle.</w:t>
      </w:r>
    </w:p>
    <w:p>
      <w:pPr>
        <w:pStyle w:val="ListParagraph"/>
        <w:numPr>
          <w:ilvl w:val="0"/>
          <w:numId w:val="2"/>
        </w:numPr>
        <w:spacing w:after="80" w:line="280"/>
      </w:pPr>
      <w:r>
        <w:rPr>
          <w:rFonts w:ascii="Cambria" w:cs="Cambria" w:eastAsia="Cambria" w:hAnsi="Cambria"/>
          <w:sz w:val="22"/>
          <w:szCs w:val="22"/>
        </w:rPr>
        <w:t xml:space="preserve">Expected outputs: for strict-deterministic families, the bit-identical output. For seed-deterministic, the output for a specified seed. For stochastic, a distribution of outputs and acceptance criteria.</w:t>
      </w:r>
    </w:p>
    <w:p>
      <w:pPr>
        <w:pStyle w:val="ListParagraph"/>
        <w:numPr>
          <w:ilvl w:val="0"/>
          <w:numId w:val="2"/>
        </w:numPr>
        <w:spacing w:after="80" w:line="280"/>
      </w:pPr>
      <w:r>
        <w:rPr>
          <w:rFonts w:ascii="Cambria" w:cs="Cambria" w:eastAsia="Cambria" w:hAnsi="Cambria"/>
          <w:sz w:val="22"/>
          <w:szCs w:val="22"/>
        </w:rPr>
        <w:t xml:space="preserve">Edge cases: malformed input, out-of-range parameters, energy-budget exhaustion.</w:t>
      </w:r>
    </w:p>
    <w:p>
      <w:pPr>
        <w:pStyle w:val="ListParagraph"/>
        <w:numPr>
          <w:ilvl w:val="0"/>
          <w:numId w:val="2"/>
        </w:numPr>
        <w:spacing w:after="80" w:line="280"/>
      </w:pPr>
      <w:r>
        <w:rPr>
          <w:rFonts w:ascii="Cambria" w:cs="Cambria" w:eastAsia="Cambria" w:hAnsi="Cambria"/>
          <w:sz w:val="22"/>
          <w:szCs w:val="22"/>
        </w:rPr>
        <w:t xml:space="preserve">Adversarial cases: inputs designed to elicit known failure modes (e.g., for llm-in-loop, prompt injection patterns the operator must resist).</w:t>
      </w:r>
    </w:p>
    <w:p>
      <w:pPr>
        <w:pStyle w:val="Heading2"/>
        <w:spacing w:after="140" w:before="280"/>
      </w:pPr>
      <w:r>
        <w:rPr>
          <w:rFonts w:ascii="Cambria" w:cs="Cambria" w:eastAsia="Cambria" w:hAnsi="Cambria"/>
          <w:b/>
          <w:bCs/>
          <w:sz w:val="26"/>
          <w:szCs w:val="26"/>
        </w:rPr>
        <w:t xml:space="preserve">5.2. Implementation Self-Certification</w:t>
      </w:r>
    </w:p>
    <w:p>
      <w:pPr>
        <w:spacing w:after="120" w:line="280"/>
        <w:jc w:val="both"/>
      </w:pPr>
      <w:r>
        <w:rPr>
          <w:rFonts w:ascii="Cambria" w:cs="Cambria" w:eastAsia="Cambria" w:hAnsi="Cambria"/>
          <w:sz w:val="22"/>
          <w:szCs w:val="22"/>
        </w:rPr>
        <w:t xml:space="preserve">An implementation claiming conformance to family F MUST run the family's test vectors and publish the results. The certificate of conformance is a signed statement:</w:t>
      </w:r>
    </w:p>
    <w:p>
      <w:pPr>
        <w:shd w:fill="F4F4F4" w:val="clear"/>
        <w:spacing w:after="140" w:before="100" w:line="260"/>
        <w:jc w:val="left"/>
      </w:pPr>
      <w:r>
        <w:rPr>
          <w:rFonts w:ascii="Consolas" w:cs="Consolas" w:eastAsia="Consolas" w:hAnsi="Consolas"/>
          <w:sz w:val="18"/>
          <w:szCs w:val="18"/>
        </w:rPr>
        <w:t xml:space="preserve">FamilyConformanceCertificate {
  family:               OperatorFamilyURI
  family_version:       SemVer
  implementation:       String                // implementation identifier
  implementation_hash:  ContentHash
  test_vector_hash:     ContentHash
  test_results: {
    total:              u32
    passed:             u32
    failed:             u32
    failures:           [TestFailureRecord]
  }
  reference_hardware:   HardwareSpec
  energy_observed:      EnergyStatistics
  attester_pubkey:      PublicKey
  signature:            [u8; 64]
  timestamp:            RFC3339
}</w:t>
      </w:r>
    </w:p>
    <w:p>
      <w:pPr>
        <w:spacing w:after="120" w:line="280"/>
        <w:jc w:val="both"/>
      </w:pPr>
      <w:r>
        <w:rPr>
          <w:rFonts w:ascii="Cambria" w:cs="Cambria" w:eastAsia="Cambria" w:hAnsi="Cambria"/>
          <w:sz w:val="22"/>
          <w:szCs w:val="22"/>
        </w:rPr>
        <w:t xml:space="preserve">Conformance is a binary status (passed all tests) but the certificate carries the full breakdown for transparency. An implementation passing 99% but failing one test is NOT conformant, but the certificate makes the failure visible rather than hiding it.</w:t>
      </w:r>
    </w:p>
    <w:p>
      <w:pPr>
        <w:pStyle w:val="Heading2"/>
        <w:spacing w:after="140" w:before="280"/>
      </w:pPr>
      <w:r>
        <w:rPr>
          <w:rFonts w:ascii="Cambria" w:cs="Cambria" w:eastAsia="Cambria" w:hAnsi="Cambria"/>
          <w:b/>
          <w:bCs/>
          <w:sz w:val="26"/>
          <w:szCs w:val="26"/>
        </w:rPr>
        <w:t xml:space="preserve">5.3. Cross-Implementation Verification</w:t>
      </w:r>
    </w:p>
    <w:p>
      <w:pPr>
        <w:spacing w:after="120" w:line="280"/>
        <w:jc w:val="both"/>
      </w:pPr>
      <w:r>
        <w:rPr>
          <w:rFonts w:ascii="Cambria" w:cs="Cambria" w:eastAsia="Cambria" w:hAnsi="Cambria"/>
          <w:sz w:val="22"/>
          <w:szCs w:val="22"/>
        </w:rPr>
        <w:t xml:space="preserve">Strict-deterministic families admit cross-implementation verification: any peer running the same test vectors on the same hardware MUST observe the same output bytes. Discrepancies are evidence of non-conformance and reputation-degrade. Seed-deterministic families admit similar verification when seeds are pinned in the test vectors. Stochastic families require statistical conformance — distribution tests with explicit thresholds.</w:t>
      </w:r>
    </w:p>
    <w:p>
      <w:pPr>
        <w:pStyle w:val="Heading2"/>
        <w:spacing w:after="140" w:before="280"/>
      </w:pPr>
      <w:r>
        <w:rPr>
          <w:rFonts w:ascii="Cambria" w:cs="Cambria" w:eastAsia="Cambria" w:hAnsi="Cambria"/>
          <w:b/>
          <w:bCs/>
          <w:sz w:val="26"/>
          <w:szCs w:val="26"/>
        </w:rPr>
        <w:t xml:space="preserve">5.4. Conformance Re-Verification on Version Change</w:t>
      </w:r>
    </w:p>
    <w:p>
      <w:pPr>
        <w:spacing w:after="120" w:line="280"/>
        <w:jc w:val="both"/>
      </w:pPr>
      <w:r>
        <w:rPr>
          <w:rFonts w:ascii="Cambria" w:cs="Cambria" w:eastAsia="Cambria" w:hAnsi="Cambria"/>
          <w:sz w:val="22"/>
          <w:szCs w:val="22"/>
        </w:rPr>
        <w:t xml:space="preserve">Implementations MUST re-run conformance tests when:</w:t>
      </w:r>
    </w:p>
    <w:p>
      <w:pPr>
        <w:pStyle w:val="ListParagraph"/>
        <w:numPr>
          <w:ilvl w:val="0"/>
          <w:numId w:val="2"/>
        </w:numPr>
        <w:spacing w:after="80" w:line="280"/>
      </w:pPr>
      <w:r>
        <w:rPr>
          <w:rFonts w:ascii="Cambria" w:cs="Cambria" w:eastAsia="Cambria" w:hAnsi="Cambria"/>
          <w:sz w:val="22"/>
          <w:szCs w:val="22"/>
        </w:rPr>
        <w:t xml:space="preserve">The family's test vector hash changes (new test vectors added by maintainers).</w:t>
      </w:r>
    </w:p>
    <w:p>
      <w:pPr>
        <w:pStyle w:val="ListParagraph"/>
        <w:numPr>
          <w:ilvl w:val="0"/>
          <w:numId w:val="2"/>
        </w:numPr>
        <w:spacing w:after="80" w:line="280"/>
      </w:pPr>
      <w:r>
        <w:rPr>
          <w:rFonts w:ascii="Cambria" w:cs="Cambria" w:eastAsia="Cambria" w:hAnsi="Cambria"/>
          <w:sz w:val="22"/>
          <w:szCs w:val="22"/>
        </w:rPr>
        <w:t xml:space="preserve">The implementation itself changes (any code change affecting behavior, indicated by implementation_hash change).</w:t>
      </w:r>
    </w:p>
    <w:p>
      <w:pPr>
        <w:pStyle w:val="ListParagraph"/>
        <w:numPr>
          <w:ilvl w:val="0"/>
          <w:numId w:val="2"/>
        </w:numPr>
        <w:spacing w:after="80" w:line="280"/>
      </w:pPr>
      <w:r>
        <w:rPr>
          <w:rFonts w:ascii="Cambria" w:cs="Cambria" w:eastAsia="Cambria" w:hAnsi="Cambria"/>
          <w:sz w:val="22"/>
          <w:szCs w:val="22"/>
        </w:rPr>
        <w:t xml:space="preserve">The reference hardware specification changes.</w:t>
      </w:r>
    </w:p>
    <w:p>
      <w:pPr>
        <w:spacing w:after="120" w:line="280"/>
        <w:jc w:val="both"/>
      </w:pPr>
      <w:r>
        <w:rPr>
          <w:rFonts w:ascii="Cambria" w:cs="Cambria" w:eastAsia="Cambria" w:hAnsi="Cambria"/>
          <w:sz w:val="22"/>
          <w:szCs w:val="22"/>
        </w:rPr>
        <w:t xml:space="preserve">Stale conformance certificates (&gt;90 days old, or referencing a superseded test vector hash) SHOULD be treated as suspicious by reputation logic.</w:t>
      </w:r>
    </w:p>
    <w:p>
      <w:pPr>
        <w:pStyle w:val="Heading1"/>
        <w:pageBreakBefore/>
        <w:spacing w:after="180" w:before="0"/>
      </w:pPr>
      <w:r>
        <w:rPr>
          <w:rFonts w:ascii="Cambria" w:cs="Cambria" w:eastAsia="Cambria" w:hAnsi="Cambria"/>
          <w:b/>
          <w:bCs/>
          <w:sz w:val="30"/>
          <w:szCs w:val="30"/>
        </w:rPr>
        <w:t xml:space="preserve">6. Energy Envelope Declaration</w:t>
      </w:r>
    </w:p>
    <w:p>
      <w:pPr>
        <w:spacing w:after="120" w:line="280"/>
        <w:jc w:val="both"/>
      </w:pPr>
      <w:r>
        <w:rPr>
          <w:rFonts w:ascii="Cambria" w:cs="Cambria" w:eastAsia="Cambria" w:hAnsi="Cambria"/>
          <w:sz w:val="22"/>
          <w:szCs w:val="22"/>
        </w:rPr>
        <w:t xml:space="preserve">Capability descriptors advertise per-operator energy envelopes. The format is:</w:t>
      </w:r>
    </w:p>
    <w:p>
      <w:pPr>
        <w:shd w:fill="F4F4F4" w:val="clear"/>
        <w:spacing w:after="140" w:before="100" w:line="260"/>
        <w:jc w:val="left"/>
      </w:pPr>
      <w:r>
        <w:rPr>
          <w:rFonts w:ascii="Consolas" w:cs="Consolas" w:eastAsia="Consolas" w:hAnsi="Consolas"/>
          <w:sz w:val="18"/>
          <w:szCs w:val="18"/>
        </w:rPr>
        <w:t xml:space="preserve">OperatorAdvertisement {
  family:                OperatorFamilyURI
  family_version:        SemVer
  energy_class:          String                  // e.g., "A: &lt;=5J/task"
  conformance_certificate: ContentHash
  configuration:         Map&lt;String, Value&gt;      // family-specific tunables
  current_load:          LoadHint
}</w:t>
      </w:r>
    </w:p>
    <w:p>
      <w:pPr>
        <w:pStyle w:val="Heading2"/>
        <w:spacing w:after="140" w:before="280"/>
      </w:pPr>
      <w:r>
        <w:rPr>
          <w:rFonts w:ascii="Cambria" w:cs="Cambria" w:eastAsia="Cambria" w:hAnsi="Cambria"/>
          <w:b/>
          <w:bCs/>
          <w:sz w:val="26"/>
          <w:szCs w:val="26"/>
        </w:rPr>
        <w:t xml:space="preserve">6.1. Configuration Parameters</w:t>
      </w:r>
    </w:p>
    <w:p>
      <w:pPr>
        <w:spacing w:after="120" w:line="280"/>
        <w:jc w:val="both"/>
      </w:pPr>
      <w:r>
        <w:rPr>
          <w:rFonts w:ascii="Cambria" w:cs="Cambria" w:eastAsia="Cambria" w:hAnsi="Cambria"/>
          <w:sz w:val="22"/>
          <w:szCs w:val="22"/>
        </w:rPr>
        <w:t xml:space="preserve">Some families have legitimate configuration that affects cost: tiny-recursive declares its parameter count and step budget; constrained-search declares its branching factor and search depth; llm-in-loop declares the model artifact and max retries. The configuration map carries these. Configuration MUST be stable across the lifetime of an operator instance — changing configuration requires a new advertisement.</w:t>
      </w:r>
    </w:p>
    <w:p>
      <w:pPr>
        <w:pStyle w:val="Heading2"/>
        <w:spacing w:after="140" w:before="280"/>
      </w:pPr>
      <w:r>
        <w:rPr>
          <w:rFonts w:ascii="Cambria" w:cs="Cambria" w:eastAsia="Cambria" w:hAnsi="Cambria"/>
          <w:b/>
          <w:bCs/>
          <w:sz w:val="26"/>
          <w:szCs w:val="26"/>
        </w:rPr>
        <w:t xml:space="preserve">6.2. Load Hints</w:t>
      </w:r>
    </w:p>
    <w:p>
      <w:pPr>
        <w:spacing w:after="120" w:line="280"/>
        <w:jc w:val="both"/>
      </w:pPr>
      <w:r>
        <w:rPr>
          <w:rFonts w:ascii="Cambria" w:cs="Cambria" w:eastAsia="Cambria" w:hAnsi="Cambria"/>
          <w:sz w:val="22"/>
          <w:szCs w:val="22"/>
        </w:rPr>
        <w:t xml:space="preserve">LoadHint is a typed enumeration:</w:t>
      </w:r>
    </w:p>
    <w:p>
      <w:pPr>
        <w:pStyle w:val="ListParagraph"/>
        <w:numPr>
          <w:ilvl w:val="0"/>
          <w:numId w:val="2"/>
        </w:numPr>
        <w:spacing w:after="80" w:line="280"/>
      </w:pPr>
      <w:r>
        <w:rPr>
          <w:rFonts w:ascii="Cambria" w:cs="Cambria" w:eastAsia="Cambria" w:hAnsi="Cambria"/>
          <w:sz w:val="22"/>
          <w:szCs w:val="22"/>
        </w:rPr>
        <w:t xml:space="preserve">idle: queue depth 0, latency at envelope minimum.</w:t>
      </w:r>
    </w:p>
    <w:p>
      <w:pPr>
        <w:pStyle w:val="ListParagraph"/>
        <w:numPr>
          <w:ilvl w:val="0"/>
          <w:numId w:val="2"/>
        </w:numPr>
        <w:spacing w:after="80" w:line="280"/>
      </w:pPr>
      <w:r>
        <w:rPr>
          <w:rFonts w:ascii="Cambria" w:cs="Cambria" w:eastAsia="Cambria" w:hAnsi="Cambria"/>
          <w:sz w:val="22"/>
          <w:szCs w:val="22"/>
        </w:rPr>
        <w:t xml:space="preserve">light: queue depth &lt; 10, latency near envelope mean.</w:t>
      </w:r>
    </w:p>
    <w:p>
      <w:pPr>
        <w:pStyle w:val="ListParagraph"/>
        <w:numPr>
          <w:ilvl w:val="0"/>
          <w:numId w:val="2"/>
        </w:numPr>
        <w:spacing w:after="80" w:line="280"/>
      </w:pPr>
      <w:r>
        <w:rPr>
          <w:rFonts w:ascii="Cambria" w:cs="Cambria" w:eastAsia="Cambria" w:hAnsi="Cambria"/>
          <w:sz w:val="22"/>
          <w:szCs w:val="22"/>
        </w:rPr>
        <w:t xml:space="preserve">busy: queue depth 10-100, latency approaching envelope p99.</w:t>
      </w:r>
    </w:p>
    <w:p>
      <w:pPr>
        <w:pStyle w:val="ListParagraph"/>
        <w:numPr>
          <w:ilvl w:val="0"/>
          <w:numId w:val="2"/>
        </w:numPr>
        <w:spacing w:after="80" w:line="280"/>
      </w:pPr>
      <w:r>
        <w:rPr>
          <w:rFonts w:ascii="Cambria" w:cs="Cambria" w:eastAsia="Cambria" w:hAnsi="Cambria"/>
          <w:sz w:val="22"/>
          <w:szCs w:val="22"/>
        </w:rPr>
        <w:t xml:space="preserve">saturated: queue depth &gt; 100 or latency exceeding p99, MAY refuse new requests.</w:t>
      </w:r>
    </w:p>
    <w:p>
      <w:pPr>
        <w:spacing w:after="120" w:line="280"/>
        <w:jc w:val="both"/>
      </w:pPr>
      <w:r>
        <w:rPr>
          <w:rFonts w:ascii="Cambria" w:cs="Cambria" w:eastAsia="Cambria" w:hAnsi="Cambria"/>
          <w:sz w:val="22"/>
          <w:szCs w:val="22"/>
        </w:rPr>
        <w:t xml:space="preserve">Clients use load hints in server selection (EOC-2 §8.2). A client receiving 'saturated' from its first-choice server SHOULD route elsewhere even if reputation is high.</w:t>
      </w:r>
    </w:p>
    <w:p>
      <w:pPr>
        <w:pStyle w:val="Heading1"/>
        <w:pageBreakBefore/>
        <w:spacing w:after="180" w:before="0"/>
      </w:pPr>
      <w:r>
        <w:rPr>
          <w:rFonts w:ascii="Cambria" w:cs="Cambria" w:eastAsia="Cambria" w:hAnsi="Cambria"/>
          <w:b/>
          <w:bCs/>
          <w:sz w:val="30"/>
          <w:szCs w:val="30"/>
        </w:rPr>
        <w:t xml:space="preserve">7. Integration with Eval-001 Certificates</w:t>
      </w:r>
    </w:p>
    <w:p>
      <w:pPr>
        <w:spacing w:after="120" w:line="280"/>
        <w:jc w:val="both"/>
      </w:pPr>
      <w:r>
        <w:rPr>
          <w:rFonts w:ascii="Cambria" w:cs="Cambria" w:eastAsia="Cambria" w:hAnsi="Cambria"/>
          <w:sz w:val="22"/>
          <w:szCs w:val="22"/>
        </w:rPr>
        <w:t xml:space="preserve">Eval-001 §8 specifies the certificate format with a tier_distribution_by_layer field. Under the v0.2 reframe, the analogous field is operator_invocation_distribution, which uses operator family identifiers from this registry.</w:t>
      </w:r>
    </w:p>
    <w:p>
      <w:pPr>
        <w:shd w:fill="F4F4F4" w:val="clear"/>
        <w:spacing w:after="140" w:before="100" w:line="260"/>
        <w:jc w:val="left"/>
      </w:pPr>
      <w:r>
        <w:rPr>
          <w:rFonts w:ascii="Consolas" w:cs="Consolas" w:eastAsia="Consolas" w:hAnsi="Consolas"/>
          <w:sz w:val="18"/>
          <w:szCs w:val="18"/>
        </w:rPr>
        <w:t xml:space="preserve"># v0.1.x certificate (legacy):
tier_distribution_by_layer: {
  layer_1_structural: { T2: 0.95, T4: 0.05 },
  layer_2_constraint: { T2: 0.92, T4: 0.08 },
  layer_3_synthesis:  { T2: 0.10, T3: 0.30, T4: 0.60 }
}
# v0.2 certificate (preferred):
operator_invocation_distribution: {
  state_construct: {
    "eoc/state-construct/parser/1":           1.00
  },
  retrieve: {
    "eoc/retrieve/lut/1":                     0.40,
    "eoc/retrieve/kg-dcy/1":                  0.55,
    "eoc/retrieve/document-store/1":          0.05
  },
  refine: {
    "eoc/refine/deterministic-sm/1":          0.20,
    "eoc/refine/tiny-recursive/1":            0.65,
    "eoc/refine/llm-in-loop/1":               0.15
  },
  check: {
    "eoc/check/schema/1":                     1.00,
    "eoc/check/constraint-eval/1":            1.00
  }
}</w:t>
      </w:r>
    </w:p>
    <w:p>
      <w:pPr>
        <w:spacing w:after="120" w:line="280"/>
        <w:jc w:val="both"/>
      </w:pPr>
      <w:r>
        <w:rPr>
          <w:rFonts w:ascii="Cambria" w:cs="Cambria" w:eastAsia="Cambria" w:hAnsi="Cambria"/>
          <w:sz w:val="22"/>
          <w:szCs w:val="22"/>
        </w:rPr>
        <w:t xml:space="preserve">v0.2 certificates MUST also include the v0.1.x tier_distribution_by_layer field for backward compatibility, derived from the operator distribution by mapping each family to its corresponding tier.</w:t>
      </w:r>
    </w:p>
    <w:p>
      <w:pPr>
        <w:pStyle w:val="Heading1"/>
        <w:pageBreakBefore/>
        <w:spacing w:after="180" w:before="0"/>
      </w:pPr>
      <w:r>
        <w:rPr>
          <w:rFonts w:ascii="Cambria" w:cs="Cambria" w:eastAsia="Cambria" w:hAnsi="Cambria"/>
          <w:b/>
          <w:bCs/>
          <w:sz w:val="30"/>
          <w:szCs w:val="30"/>
        </w:rPr>
        <w:t xml:space="preserve">8. Deprecation and Succession</w:t>
      </w:r>
    </w:p>
    <w:p>
      <w:pPr>
        <w:pStyle w:val="Heading2"/>
        <w:spacing w:after="140" w:before="280"/>
      </w:pPr>
      <w:r>
        <w:rPr>
          <w:rFonts w:ascii="Cambria" w:cs="Cambria" w:eastAsia="Cambria" w:hAnsi="Cambria"/>
          <w:b/>
          <w:bCs/>
          <w:sz w:val="26"/>
          <w:szCs w:val="26"/>
        </w:rPr>
        <w:t xml:space="preserve">8.1. When a Family is Deprecated</w:t>
      </w:r>
    </w:p>
    <w:p>
      <w:pPr>
        <w:spacing w:after="120" w:line="280"/>
        <w:jc w:val="both"/>
      </w:pPr>
      <w:r>
        <w:rPr>
          <w:rFonts w:ascii="Cambria" w:cs="Cambria" w:eastAsia="Cambria" w:hAnsi="Cambria"/>
          <w:sz w:val="22"/>
          <w:szCs w:val="22"/>
        </w:rPr>
        <w:t xml:space="preserve">Operator families MAY be deprecated when:</w:t>
      </w:r>
    </w:p>
    <w:p>
      <w:pPr>
        <w:pStyle w:val="ListParagraph"/>
        <w:numPr>
          <w:ilvl w:val="0"/>
          <w:numId w:val="2"/>
        </w:numPr>
        <w:spacing w:after="80" w:line="280"/>
      </w:pPr>
      <w:r>
        <w:rPr>
          <w:rFonts w:ascii="Cambria" w:cs="Cambria" w:eastAsia="Cambria" w:hAnsi="Cambria"/>
          <w:sz w:val="22"/>
          <w:szCs w:val="22"/>
        </w:rPr>
        <w:t xml:space="preserve">A successor family covers the same use case with strictly better properties (cost, determinism, reliability).</w:t>
      </w:r>
    </w:p>
    <w:p>
      <w:pPr>
        <w:pStyle w:val="ListParagraph"/>
        <w:numPr>
          <w:ilvl w:val="0"/>
          <w:numId w:val="2"/>
        </w:numPr>
        <w:spacing w:after="80" w:line="280"/>
      </w:pPr>
      <w:r>
        <w:rPr>
          <w:rFonts w:ascii="Cambria" w:cs="Cambria" w:eastAsia="Cambria" w:hAnsi="Cambria"/>
          <w:sz w:val="22"/>
          <w:szCs w:val="22"/>
        </w:rPr>
        <w:t xml:space="preserve">The family's underlying mechanism is found to have systematic flaws (e.g., a regex engine with unfixable performance issues).</w:t>
      </w:r>
    </w:p>
    <w:p>
      <w:pPr>
        <w:pStyle w:val="ListParagraph"/>
        <w:numPr>
          <w:ilvl w:val="0"/>
          <w:numId w:val="2"/>
        </w:numPr>
        <w:spacing w:after="80" w:line="280"/>
      </w:pPr>
      <w:r>
        <w:rPr>
          <w:rFonts w:ascii="Cambria" w:cs="Cambria" w:eastAsia="Cambria" w:hAnsi="Cambria"/>
          <w:sz w:val="22"/>
          <w:szCs w:val="22"/>
        </w:rPr>
        <w:t xml:space="preserve">The family's maintainers cease maintenance and no successor maintainers step forward.</w:t>
      </w:r>
    </w:p>
    <w:p>
      <w:pPr>
        <w:spacing w:after="120" w:line="280"/>
        <w:jc w:val="both"/>
      </w:pPr>
      <w:r>
        <w:rPr>
          <w:rFonts w:ascii="Cambria" w:cs="Cambria" w:eastAsia="Cambria" w:hAnsi="Cambria"/>
          <w:sz w:val="22"/>
          <w:szCs w:val="22"/>
        </w:rPr>
        <w:t xml:space="preserve">Deprecation is a maintainer decision (§10) and triggers a 6-month sunset window during which the family remains conformant but advertisements MUST flag the deprecation.</w:t>
      </w:r>
    </w:p>
    <w:p>
      <w:pPr>
        <w:pStyle w:val="Heading2"/>
        <w:spacing w:after="140" w:before="280"/>
      </w:pPr>
      <w:r>
        <w:rPr>
          <w:rFonts w:ascii="Cambria" w:cs="Cambria" w:eastAsia="Cambria" w:hAnsi="Cambria"/>
          <w:b/>
          <w:bCs/>
          <w:sz w:val="26"/>
          <w:szCs w:val="26"/>
        </w:rPr>
        <w:t xml:space="preserve">8.2. Successor Field</w:t>
      </w:r>
    </w:p>
    <w:p>
      <w:pPr>
        <w:spacing w:after="120" w:line="280"/>
        <w:jc w:val="both"/>
      </w:pPr>
      <w:r>
        <w:rPr>
          <w:rFonts w:ascii="Cambria" w:cs="Cambria" w:eastAsia="Cambria" w:hAnsi="Cambria"/>
          <w:sz w:val="22"/>
          <w:szCs w:val="22"/>
        </w:rPr>
        <w:t xml:space="preserve">A deprecated family's descriptor SHOULD specify a successor in the governance.successor field. The successor SHOULD be a strict superset of the deprecated family's contract: implementations migrating to the successor MUST be able to do so without breaking their existing certificates.</w:t>
      </w:r>
    </w:p>
    <w:p>
      <w:pPr>
        <w:pStyle w:val="Heading2"/>
        <w:spacing w:after="140" w:before="280"/>
      </w:pPr>
      <w:r>
        <w:rPr>
          <w:rFonts w:ascii="Cambria" w:cs="Cambria" w:eastAsia="Cambria" w:hAnsi="Cambria"/>
          <w:b/>
          <w:bCs/>
          <w:sz w:val="26"/>
          <w:szCs w:val="26"/>
        </w:rPr>
        <w:t xml:space="preserve">8.3. Major-Version Bumps Are NOT Deprecation</w:t>
      </w:r>
    </w:p>
    <w:p>
      <w:pPr>
        <w:spacing w:after="120" w:line="280"/>
        <w:jc w:val="both"/>
      </w:pPr>
      <w:r>
        <w:rPr>
          <w:rFonts w:ascii="Cambria" w:cs="Cambria" w:eastAsia="Cambria" w:hAnsi="Cambria"/>
          <w:sz w:val="22"/>
          <w:szCs w:val="22"/>
        </w:rPr>
        <w:t xml:space="preserve">Bumping a family's major version (e.g., eoc/refine/tiny-recursive/1 to /2) is not deprecation; both versions may coexist indefinitely. Capability descriptors and certificates are version-specific; nodes choosing to support only the older major version remain conformant for that version's contract.</w:t>
      </w:r>
    </w:p>
    <w:p>
      <w:pPr>
        <w:pStyle w:val="Heading1"/>
        <w:pageBreakBefore/>
        <w:spacing w:after="180" w:before="0"/>
      </w:pPr>
      <w:r>
        <w:rPr>
          <w:rFonts w:ascii="Cambria" w:cs="Cambria" w:eastAsia="Cambria" w:hAnsi="Cambria"/>
          <w:b/>
          <w:bCs/>
          <w:sz w:val="30"/>
          <w:szCs w:val="30"/>
        </w:rPr>
        <w:t xml:space="preserve">9. Custom (Out-of-Scope) Families</w:t>
      </w:r>
    </w:p>
    <w:p>
      <w:pPr>
        <w:pStyle w:val="Heading2"/>
        <w:spacing w:after="140" w:before="280"/>
      </w:pPr>
      <w:r>
        <w:rPr>
          <w:rFonts w:ascii="Cambria" w:cs="Cambria" w:eastAsia="Cambria" w:hAnsi="Cambria"/>
          <w:b/>
          <w:bCs/>
          <w:sz w:val="26"/>
          <w:szCs w:val="26"/>
        </w:rPr>
        <w:t xml:space="preserve">9.1. Permissionless Registration</w:t>
      </w:r>
    </w:p>
    <w:p>
      <w:pPr>
        <w:spacing w:after="120" w:line="280"/>
        <w:jc w:val="both"/>
      </w:pPr>
      <w:r>
        <w:rPr>
          <w:rFonts w:ascii="Cambria" w:cs="Cambria" w:eastAsia="Cambria" w:hAnsi="Cambria"/>
          <w:sz w:val="22"/>
          <w:szCs w:val="22"/>
        </w:rPr>
        <w:t xml:space="preserve">Operator families outside the eoc scope require no central approval. An organization or individual MAY define a family in their own reverse-DNS scope (e.g., dev.openie/refine/state-graph-explorer/1) and publish its descriptor as a content-addressed artifact. The substrate's gossip mechanics will propagate the descriptor naturally; nodes implementing the family will advertise it; clients seeing the advertisement may route to it.</w:t>
      </w:r>
    </w:p>
    <w:p>
      <w:pPr>
        <w:pStyle w:val="Heading2"/>
        <w:spacing w:after="140" w:before="280"/>
      </w:pPr>
      <w:r>
        <w:rPr>
          <w:rFonts w:ascii="Cambria" w:cs="Cambria" w:eastAsia="Cambria" w:hAnsi="Cambria"/>
          <w:b/>
          <w:bCs/>
          <w:sz w:val="26"/>
          <w:szCs w:val="26"/>
        </w:rPr>
        <w:t xml:space="preserve">9.2. Quality Signal</w:t>
      </w:r>
    </w:p>
    <w:p>
      <w:pPr>
        <w:spacing w:after="120" w:line="280"/>
        <w:jc w:val="both"/>
      </w:pPr>
      <w:r>
        <w:rPr>
          <w:rFonts w:ascii="Cambria" w:cs="Cambria" w:eastAsia="Cambria" w:hAnsi="Cambria"/>
          <w:sz w:val="22"/>
          <w:szCs w:val="22"/>
        </w:rPr>
        <w:t xml:space="preserve">Custom families participate in the same reputation and certificate mechanics as canonical families. A custom family that produces consistently good results in attested certificates earns reputation; one that does not, does not. The substrate does not privilege canonical families with reputation bonuses; the only difference is governance (canonical families have a maintainer process; custom families have whoever publishes them).</w:t>
      </w:r>
    </w:p>
    <w:p>
      <w:pPr>
        <w:pStyle w:val="Heading2"/>
        <w:spacing w:after="140" w:before="280"/>
      </w:pPr>
      <w:r>
        <w:rPr>
          <w:rFonts w:ascii="Cambria" w:cs="Cambria" w:eastAsia="Cambria" w:hAnsi="Cambria"/>
          <w:b/>
          <w:bCs/>
          <w:sz w:val="26"/>
          <w:szCs w:val="26"/>
        </w:rPr>
        <w:t xml:space="preserve">9.3. Promotion to Canonical</w:t>
      </w:r>
    </w:p>
    <w:p>
      <w:pPr>
        <w:spacing w:after="120" w:line="280"/>
        <w:jc w:val="both"/>
      </w:pPr>
      <w:r>
        <w:rPr>
          <w:rFonts w:ascii="Cambria" w:cs="Cambria" w:eastAsia="Cambria" w:hAnsi="Cambria"/>
          <w:sz w:val="22"/>
          <w:szCs w:val="22"/>
        </w:rPr>
        <w:t xml:space="preserve">A custom family MAY be promoted to the eoc scope if:</w:t>
      </w:r>
    </w:p>
    <w:p>
      <w:pPr>
        <w:pStyle w:val="ListParagraph"/>
        <w:numPr>
          <w:ilvl w:val="0"/>
          <w:numId w:val="2"/>
        </w:numPr>
        <w:spacing w:after="80" w:line="280"/>
      </w:pPr>
      <w:r>
        <w:rPr>
          <w:rFonts w:ascii="Cambria" w:cs="Cambria" w:eastAsia="Cambria" w:hAnsi="Cambria"/>
          <w:sz w:val="22"/>
          <w:szCs w:val="22"/>
        </w:rPr>
        <w:t xml:space="preserve">Its semantics are general (relevant beyond a single deployment).</w:t>
      </w:r>
    </w:p>
    <w:p>
      <w:pPr>
        <w:pStyle w:val="ListParagraph"/>
        <w:numPr>
          <w:ilvl w:val="0"/>
          <w:numId w:val="2"/>
        </w:numPr>
        <w:spacing w:after="80" w:line="280"/>
      </w:pPr>
      <w:r>
        <w:rPr>
          <w:rFonts w:ascii="Cambria" w:cs="Cambria" w:eastAsia="Cambria" w:hAnsi="Cambria"/>
          <w:sz w:val="22"/>
          <w:szCs w:val="22"/>
        </w:rPr>
        <w:t xml:space="preserve">It has multiple independent implementations passing conformance tests.</w:t>
      </w:r>
    </w:p>
    <w:p>
      <w:pPr>
        <w:pStyle w:val="ListParagraph"/>
        <w:numPr>
          <w:ilvl w:val="0"/>
          <w:numId w:val="2"/>
        </w:numPr>
        <w:spacing w:after="80" w:line="280"/>
      </w:pPr>
      <w:r>
        <w:rPr>
          <w:rFonts w:ascii="Cambria" w:cs="Cambria" w:eastAsia="Cambria" w:hAnsi="Cambria"/>
          <w:sz w:val="22"/>
          <w:szCs w:val="22"/>
        </w:rPr>
        <w:t xml:space="preserve">It addresses a use case not covered by existing canonical families.</w:t>
      </w:r>
    </w:p>
    <w:p>
      <w:pPr>
        <w:pStyle w:val="ListParagraph"/>
        <w:numPr>
          <w:ilvl w:val="0"/>
          <w:numId w:val="2"/>
        </w:numPr>
        <w:spacing w:after="80" w:line="280"/>
      </w:pPr>
      <w:r>
        <w:rPr>
          <w:rFonts w:ascii="Cambria" w:cs="Cambria" w:eastAsia="Cambria" w:hAnsi="Cambria"/>
          <w:sz w:val="22"/>
          <w:szCs w:val="22"/>
        </w:rPr>
        <w:t xml:space="preserve">The maintainer process (§10) approves promotion.</w:t>
      </w:r>
    </w:p>
    <w:p>
      <w:pPr>
        <w:spacing w:after="120" w:line="280"/>
        <w:jc w:val="both"/>
      </w:pPr>
      <w:r>
        <w:rPr>
          <w:rFonts w:ascii="Cambria" w:cs="Cambria" w:eastAsia="Cambria" w:hAnsi="Cambria"/>
          <w:sz w:val="22"/>
          <w:szCs w:val="22"/>
        </w:rPr>
        <w:t xml:space="preserve">Promoted families receive a new identifier in the eoc scope and the original custom-scope identifier is retained as a redirect.</w:t>
      </w:r>
    </w:p>
    <w:p>
      <w:pPr>
        <w:pStyle w:val="Heading1"/>
        <w:pageBreakBefore/>
        <w:spacing w:after="180" w:before="0"/>
      </w:pPr>
      <w:r>
        <w:rPr>
          <w:rFonts w:ascii="Cambria" w:cs="Cambria" w:eastAsia="Cambria" w:hAnsi="Cambria"/>
          <w:b/>
          <w:bCs/>
          <w:sz w:val="30"/>
          <w:szCs w:val="30"/>
        </w:rPr>
        <w:t xml:space="preserve">10. Governance</w:t>
      </w:r>
    </w:p>
    <w:p>
      <w:pPr>
        <w:pStyle w:val="Heading2"/>
        <w:spacing w:after="140" w:before="280"/>
      </w:pPr>
      <w:r>
        <w:rPr>
          <w:rFonts w:ascii="Cambria" w:cs="Cambria" w:eastAsia="Cambria" w:hAnsi="Cambria"/>
          <w:b/>
          <w:bCs/>
          <w:sz w:val="26"/>
          <w:szCs w:val="26"/>
        </w:rPr>
        <w:t xml:space="preserve">10.1. Maintainer Set</w:t>
      </w:r>
    </w:p>
    <w:p>
      <w:pPr>
        <w:spacing w:after="120" w:line="280"/>
        <w:jc w:val="both"/>
      </w:pPr>
      <w:r>
        <w:rPr>
          <w:rFonts w:ascii="Cambria" w:cs="Cambria" w:eastAsia="Cambria" w:hAnsi="Cambria"/>
          <w:sz w:val="22"/>
          <w:szCs w:val="22"/>
        </w:rPr>
        <w:t xml:space="preserve">The eoc scope is governed by a maintainer set with the same composition rules as Eval-001 corpus governance:</w:t>
      </w:r>
    </w:p>
    <w:p>
      <w:pPr>
        <w:pStyle w:val="ListParagraph"/>
        <w:numPr>
          <w:ilvl w:val="0"/>
          <w:numId w:val="2"/>
        </w:numPr>
        <w:spacing w:after="80" w:line="280"/>
      </w:pPr>
      <w:r>
        <w:rPr>
          <w:rFonts w:ascii="Cambria" w:cs="Cambria" w:eastAsia="Cambria" w:hAnsi="Cambria"/>
          <w:sz w:val="22"/>
          <w:szCs w:val="22"/>
        </w:rPr>
        <w:t xml:space="preserve">At least three independent organizations with no common ownership.</w:t>
      </w:r>
    </w:p>
    <w:p>
      <w:pPr>
        <w:pStyle w:val="ListParagraph"/>
        <w:numPr>
          <w:ilvl w:val="0"/>
          <w:numId w:val="2"/>
        </w:numPr>
        <w:spacing w:after="80" w:line="280"/>
      </w:pPr>
      <w:r>
        <w:rPr>
          <w:rFonts w:ascii="Cambria" w:cs="Cambria" w:eastAsia="Cambria" w:hAnsi="Cambria"/>
          <w:sz w:val="22"/>
          <w:szCs w:val="22"/>
        </w:rPr>
        <w:t xml:space="preserve">No more than one third of maintainers are vendors of EOC implementations.</w:t>
      </w:r>
    </w:p>
    <w:p>
      <w:pPr>
        <w:pStyle w:val="ListParagraph"/>
        <w:numPr>
          <w:ilvl w:val="0"/>
          <w:numId w:val="2"/>
        </w:numPr>
        <w:spacing w:after="80" w:line="280"/>
      </w:pPr>
      <w:r>
        <w:rPr>
          <w:rFonts w:ascii="Cambria" w:cs="Cambria" w:eastAsia="Cambria" w:hAnsi="Cambria"/>
          <w:sz w:val="22"/>
          <w:szCs w:val="22"/>
        </w:rPr>
        <w:t xml:space="preserve">Maintainer composition MUST be published; changes require disclosure and a registry version bump.</w:t>
      </w:r>
    </w:p>
    <w:p>
      <w:pPr>
        <w:pStyle w:val="ListParagraph"/>
        <w:numPr>
          <w:ilvl w:val="0"/>
          <w:numId w:val="2"/>
        </w:numPr>
        <w:spacing w:after="80" w:line="280"/>
      </w:pPr>
      <w:r>
        <w:rPr>
          <w:rFonts w:ascii="Cambria" w:cs="Cambria" w:eastAsia="Cambria" w:hAnsi="Cambria"/>
          <w:sz w:val="22"/>
          <w:szCs w:val="22"/>
        </w:rPr>
        <w:t xml:space="preserve">All proposed canonical-family additions go through a public review window of at least 60 days before activation. Major-version bumps and deprecations require unanimous maintainer agreement; minor additions require majority.</w:t>
      </w:r>
    </w:p>
    <w:p>
      <w:pPr>
        <w:pStyle w:val="Heading2"/>
        <w:spacing w:after="140" w:before="280"/>
      </w:pPr>
      <w:r>
        <w:rPr>
          <w:rFonts w:ascii="Cambria" w:cs="Cambria" w:eastAsia="Cambria" w:hAnsi="Cambria"/>
          <w:b/>
          <w:bCs/>
          <w:sz w:val="26"/>
          <w:szCs w:val="26"/>
        </w:rPr>
        <w:t xml:space="preserve">10.2. Forking</w:t>
      </w:r>
    </w:p>
    <w:p>
      <w:pPr>
        <w:spacing w:after="120" w:line="280"/>
        <w:jc w:val="both"/>
      </w:pPr>
      <w:r>
        <w:rPr>
          <w:rFonts w:ascii="Cambria" w:cs="Cambria" w:eastAsia="Cambria" w:hAnsi="Cambria"/>
          <w:sz w:val="22"/>
          <w:szCs w:val="22"/>
        </w:rPr>
        <w:t xml:space="preserve">The registry, like every other EOC artifact, is forkable. A fork that produces a more representative or differently-curated registry is legitimate evolution. Certificates and descriptors against a forked registry MUST cite the fork's content hash and MUST NOT use the unqualified eoc/ prefix.</w:t>
      </w:r>
    </w:p>
    <w:p>
      <w:pPr>
        <w:pStyle w:val="Heading2"/>
        <w:spacing w:after="140" w:before="280"/>
      </w:pPr>
      <w:r>
        <w:rPr>
          <w:rFonts w:ascii="Cambria" w:cs="Cambria" w:eastAsia="Cambria" w:hAnsi="Cambria"/>
          <w:b/>
          <w:bCs/>
          <w:sz w:val="26"/>
          <w:szCs w:val="26"/>
        </w:rPr>
        <w:t xml:space="preserve">10.3. Registry Versioning</w:t>
      </w:r>
    </w:p>
    <w:p>
      <w:pPr>
        <w:spacing w:after="120" w:line="280"/>
        <w:jc w:val="both"/>
      </w:pPr>
      <w:r>
        <w:rPr>
          <w:rFonts w:ascii="Cambria" w:cs="Cambria" w:eastAsia="Cambria" w:hAnsi="Cambria"/>
          <w:sz w:val="22"/>
          <w:szCs w:val="22"/>
        </w:rPr>
        <w:t xml:space="preserve">The canonical registry itself is versioned. Each version is a content-addressed artifact listing all canonical families and their current versions. Capability descriptors MUST cite the registry version they were issued against. Implementations MUST be prepared to interoperate across multiple registry versions in flight (typical: current version plus the previous two).</w:t>
      </w:r>
    </w:p>
    <w:p>
      <w:pPr>
        <w:pStyle w:val="Heading1"/>
        <w:pageBreakBefore/>
        <w:spacing w:after="180" w:before="0"/>
      </w:pPr>
      <w:r>
        <w:rPr>
          <w:rFonts w:ascii="Cambria" w:cs="Cambria" w:eastAsia="Cambria" w:hAnsi="Cambria"/>
          <w:b/>
          <w:bCs/>
          <w:sz w:val="30"/>
          <w:szCs w:val="30"/>
        </w:rPr>
        <w:t xml:space="preserve">11. Open Issues</w:t>
      </w:r>
    </w:p>
    <w:p>
      <w:pPr>
        <w:pStyle w:val="ListParagraph"/>
        <w:numPr>
          <w:ilvl w:val="0"/>
          <w:numId w:val="2"/>
        </w:numPr>
        <w:spacing w:after="80" w:line="280"/>
      </w:pPr>
      <w:r>
        <w:rPr>
          <w:rFonts w:ascii="Cambria" w:cs="Cambria" w:eastAsia="Cambria" w:hAnsi="Cambria"/>
          <w:sz w:val="22"/>
          <w:szCs w:val="22"/>
        </w:rPr>
        <w:t xml:space="preserve">Cost-envelope calibration. The typical-cost figures in §4 are starting estimates. Empirical validation against reference implementations of each family on EOC-1 §9.3 reference hardware will refine them. Substantial deviations from initial estimates are likely for refine families.</w:t>
      </w:r>
    </w:p>
    <w:p>
      <w:pPr>
        <w:pStyle w:val="ListParagraph"/>
        <w:numPr>
          <w:ilvl w:val="0"/>
          <w:numId w:val="2"/>
        </w:numPr>
        <w:spacing w:after="80" w:line="280"/>
      </w:pPr>
      <w:r>
        <w:rPr>
          <w:rFonts w:ascii="Cambria" w:cs="Cambria" w:eastAsia="Cambria" w:hAnsi="Cambria"/>
          <w:sz w:val="22"/>
          <w:szCs w:val="22"/>
        </w:rPr>
        <w:t xml:space="preserve">Stochastic family auditability. LLM-in-loop is the only stochastic family in v0.1, and its conformance testing relies on statistical distribution checks. As more stochastic families are added, the conformance methodology will need extension. Currently the per-family test vector authors decide; a normative methodology document is needed.</w:t>
      </w:r>
    </w:p>
    <w:p>
      <w:pPr>
        <w:pStyle w:val="ListParagraph"/>
        <w:numPr>
          <w:ilvl w:val="0"/>
          <w:numId w:val="2"/>
        </w:numPr>
        <w:spacing w:after="80" w:line="280"/>
      </w:pPr>
      <w:r>
        <w:rPr>
          <w:rFonts w:ascii="Cambria" w:cs="Cambria" w:eastAsia="Cambria" w:hAnsi="Cambria"/>
          <w:sz w:val="22"/>
          <w:szCs w:val="22"/>
        </w:rPr>
        <w:t xml:space="preserve">Configuration-space explosion. Some families (especially llm-in-loop) have large configuration spaces. The cost envelope advertised for a configuration is hard to compare across configurations. A canonical projection from configuration space to cost class would help, but is non-trivial.</w:t>
      </w:r>
    </w:p>
    <w:p>
      <w:pPr>
        <w:pStyle w:val="ListParagraph"/>
        <w:numPr>
          <w:ilvl w:val="0"/>
          <w:numId w:val="2"/>
        </w:numPr>
        <w:spacing w:after="80" w:line="280"/>
      </w:pPr>
      <w:r>
        <w:rPr>
          <w:rFonts w:ascii="Cambria" w:cs="Cambria" w:eastAsia="Cambria" w:hAnsi="Cambria"/>
          <w:sz w:val="22"/>
          <w:szCs w:val="22"/>
        </w:rPr>
        <w:t xml:space="preserve">Composition operators. Sometimes a refine operator is itself a composition: 'tiny-recursive applied 3 times then constrained-search'. v0.1 treats compositions as opaque single operators with their own family identifier. A more principled treatment of composition would simplify capability advertising.</w:t>
      </w:r>
    </w:p>
    <w:p>
      <w:pPr>
        <w:pStyle w:val="ListParagraph"/>
        <w:numPr>
          <w:ilvl w:val="0"/>
          <w:numId w:val="2"/>
        </w:numPr>
        <w:spacing w:after="80" w:line="280"/>
      </w:pPr>
      <w:r>
        <w:rPr>
          <w:rFonts w:ascii="Cambria" w:cs="Cambria" w:eastAsia="Cambria" w:hAnsi="Cambria"/>
          <w:sz w:val="22"/>
          <w:szCs w:val="22"/>
        </w:rPr>
        <w:t xml:space="preserve">Family equivalence proofs. When is family X/2 a strict generalization of X/1? Currently this is an editorial assertion in the descriptor. A more rigorous notion of family equivalence (perhaps via test-vector subsumption) would make migration safer.</w:t>
      </w:r>
    </w:p>
    <w:p>
      <w:pPr>
        <w:pStyle w:val="Heading1"/>
        <w:pageBreakBefore/>
        <w:spacing w:after="180" w:before="0"/>
      </w:pPr>
      <w:r>
        <w:rPr>
          <w:rFonts w:ascii="Cambria" w:cs="Cambria" w:eastAsia="Cambria" w:hAnsi="Cambria"/>
          <w:b/>
          <w:bCs/>
          <w:sz w:val="30"/>
          <w:szCs w:val="30"/>
        </w:rPr>
        <w:t xml:space="preserve">12. References</w:t>
      </w:r>
    </w:p>
    <w:p>
      <w:pPr>
        <w:spacing w:after="120" w:line="280"/>
        <w:jc w:val="both"/>
      </w:pPr>
      <w:r>
        <w:rPr>
          <w:rFonts w:ascii="Cambria" w:cs="Cambria" w:eastAsia="Cambria" w:hAnsi="Cambria"/>
          <w:sz w:val="22"/>
          <w:szCs w:val="22"/>
        </w:rPr>
        <w:t xml:space="preserve">[EOC-1] EOC-1 Working Draft 0.2, Energy-Optimized Compute.</w:t>
      </w:r>
    </w:p>
    <w:p>
      <w:pPr>
        <w:spacing w:after="120" w:line="280"/>
        <w:jc w:val="both"/>
      </w:pPr>
      <w:r>
        <w:rPr>
          <w:rFonts w:ascii="Cambria" w:cs="Cambria" w:eastAsia="Cambria" w:hAnsi="Cambria"/>
          <w:sz w:val="22"/>
          <w:szCs w:val="22"/>
        </w:rPr>
        <w:t xml:space="preserve">[EOC-2] EOC-2 Working Draft 0.1, EOC Wire Protocol.</w:t>
      </w:r>
    </w:p>
    <w:p>
      <w:pPr>
        <w:spacing w:after="120" w:line="280"/>
        <w:jc w:val="both"/>
      </w:pPr>
      <w:r>
        <w:rPr>
          <w:rFonts w:ascii="Cambria" w:cs="Cambria" w:eastAsia="Cambria" w:hAnsi="Cambria"/>
          <w:sz w:val="22"/>
          <w:szCs w:val="22"/>
        </w:rPr>
        <w:t xml:space="preserve">[EOC-3] EOC-3 Working Draft 0.1, Artifact Distribution Protocol.</w:t>
      </w:r>
    </w:p>
    <w:p>
      <w:pPr>
        <w:spacing w:after="120" w:line="280"/>
        <w:jc w:val="both"/>
      </w:pPr>
      <w:r>
        <w:rPr>
          <w:rFonts w:ascii="Cambria" w:cs="Cambria" w:eastAsia="Cambria" w:hAnsi="Cambria"/>
          <w:sz w:val="22"/>
          <w:szCs w:val="22"/>
        </w:rPr>
        <w:t xml:space="preserve">[EOC-4] EOC-4 Working Draft 0.1, Deterministic Cypher Subset.</w:t>
      </w:r>
    </w:p>
    <w:p>
      <w:pPr>
        <w:spacing w:after="120" w:line="280"/>
        <w:jc w:val="both"/>
      </w:pPr>
      <w:r>
        <w:rPr>
          <w:rFonts w:ascii="Cambria" w:cs="Cambria" w:eastAsia="Cambria" w:hAnsi="Cambria"/>
          <w:sz w:val="22"/>
          <w:szCs w:val="22"/>
        </w:rPr>
        <w:t xml:space="preserve">[Eval-001] EOC-1 Eval-001 Working Draft 0.1, Schema-Conformant Generation.</w:t>
      </w:r>
    </w:p>
    <w:p>
      <w:pPr>
        <w:spacing w:after="120" w:line="280"/>
        <w:jc w:val="both"/>
      </w:pPr>
      <w:r>
        <w:rPr>
          <w:rFonts w:ascii="Cambria" w:cs="Cambria" w:eastAsia="Cambria" w:hAnsi="Cambria"/>
          <w:sz w:val="22"/>
          <w:szCs w:val="22"/>
        </w:rPr>
        <w:t xml:space="preserve">[SemVer] Preston-Werner, T., "Semantic Versioning 2.0.0", https://semver.org.</w:t>
      </w:r>
    </w:p>
    <w:p>
      <w:pPr>
        <w:spacing w:after="120" w:line="280"/>
        <w:jc w:val="both"/>
      </w:pPr>
      <w:r>
        <w:rPr>
          <w:rFonts w:ascii="Cambria" w:cs="Cambria" w:eastAsia="Cambria" w:hAnsi="Cambria"/>
          <w:sz w:val="22"/>
          <w:szCs w:val="22"/>
        </w:rPr>
        <w:t xml:space="preserve">[RFC2119] Bradner, S., "Key words for use in RFCs to Indicate Requirement Levels", BCP 14, RFC 2119, March 1997.</w:t>
      </w:r>
    </w:p>
    <w:p>
      <w:pPr>
        <w:spacing w:before="600"/>
        <w:jc w:val="center"/>
      </w:pPr>
      <w:r>
        <w:rPr>
          <w:rFonts w:ascii="Cambria" w:cs="Cambria" w:eastAsia="Cambria" w:hAnsi="Cambria"/>
          <w:i/>
          <w:iCs/>
          <w:color w:val="888888"/>
          <w:sz w:val="20"/>
          <w:szCs w:val="20"/>
        </w:rPr>
        <w:t xml:space="preserve">— end of EOC-5 working draft 0.1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888888"/>
        <w:sz w:val="18"/>
        <w:szCs w:val="18"/>
      </w:rPr>
      <w:t xml:space="preserve">Page </w:t>
      <w:fldChar w:fldCharType="begin"/>
      <w:instrText xml:space="preserve">PAGE</w:instrText>
      <w:fldChar w:fldCharType="separate"/>
      <w:fldChar w:fldCharType="end"/>
    </w:r>
    <w:r>
      <w:rPr>
        <w:rFonts w:ascii="Cambria" w:cs="Cambria" w:eastAsia="Cambria" w:hAnsi="Cambria"/>
        <w:color w:val="888888"/>
        <w:sz w:val="18"/>
        <w:szCs w:val="18"/>
      </w:rPr>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mbria" w:cs="Cambria" w:eastAsia="Cambria" w:hAnsi="Cambria"/>
        <w:color w:val="888888"/>
        <w:sz w:val="18"/>
        <w:szCs w:val="18"/>
      </w:rPr>
      <w:t xml:space="preserve">EOC-5 Operator Family Registry — Working Draft 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mbria" w:cs="Cambria" w:eastAsia="Cambria" w:hAnsi="Cambria"/>
      <w:b/>
      <w:bCs/>
      <w:sz w:val="30"/>
      <w:szCs w:val="30"/>
    </w:rPr>
  </w:style>
  <w:style w:type="paragraph" w:styleId="Heading2">
    <w:name w:val="Heading 2"/>
    <w:basedOn w:val="Normal"/>
    <w:next w:val="Normal"/>
    <w:qFormat/>
    <w:pPr>
      <w:spacing w:after="140" w:before="280"/>
      <w:outlineLvl w:val="1"/>
    </w:pPr>
    <w:rPr>
      <w:rFonts w:ascii="Cambria" w:cs="Cambria" w:eastAsia="Cambria" w:hAnsi="Cambria"/>
      <w:b/>
      <w:bCs/>
      <w:sz w:val="26"/>
      <w:szCs w:val="26"/>
    </w:rPr>
  </w:style>
  <w:style w:type="paragraph" w:styleId="Heading3">
    <w:name w:val="Heading 3"/>
    <w:basedOn w:val="Normal"/>
    <w:next w:val="Normal"/>
    <w:qFormat/>
    <w:pPr>
      <w:spacing w:after="120" w:before="220"/>
      <w:outlineLvl w:val="2"/>
    </w:pPr>
    <w:rPr>
      <w:rFonts w:ascii="Cambria" w:cs="Cambria" w:eastAsia="Cambria" w:hAnsi="Cambria"/>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EOC-5 Operator Family Registry</dc:title>
  <dc:creator>EOC</dc:creator>
  <cp:lastModifiedBy>Un-named</cp:lastModifiedBy>
  <cp:revision>1</cp:revision>
  <dcterms:created xsi:type="dcterms:W3CDTF">2026-05-06T16:32:19.354Z</dcterms:created>
  <dcterms:modified xsi:type="dcterms:W3CDTF">2026-05-06T16:32:19.355Z</dcterms:modified>
</cp:coreProperties>
</file>

<file path=docProps/custom.xml><?xml version="1.0" encoding="utf-8"?>
<Properties xmlns="http://schemas.openxmlformats.org/officeDocument/2006/custom-properties" xmlns:vt="http://schemas.openxmlformats.org/officeDocument/2006/docPropsVTypes"/>
</file>