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Arial" w:cs="Arial" w:eastAsia="Arial" w:hAnsi="Arial"/>
          <w:b/>
          <w:bCs/>
          <w:sz w:val="44"/>
          <w:szCs w:val="44"/>
        </w:rPr>
        <w:t xml:space="preserve">Energy-Optimized Compute</w:t>
      </w:r>
    </w:p>
    <w:p>
      <w:pPr>
        <w:spacing w:after="80"/>
        <w:jc w:val="center"/>
      </w:pPr>
      <w:r>
        <w:rPr>
          <w:rFonts w:ascii="Arial" w:cs="Arial" w:eastAsia="Arial" w:hAnsi="Arial"/>
          <w:i/>
          <w:iCs/>
          <w:sz w:val="26"/>
          <w:szCs w:val="26"/>
        </w:rPr>
        <w:t xml:space="preserve">A Free, Always-Available, Tiered AI Substrate</w:t>
      </w:r>
    </w:p>
    <w:p>
      <w:pPr>
        <w:spacing w:after="360"/>
        <w:jc w:val="center"/>
      </w:pPr>
      <w:r>
        <w:rPr>
          <w:rFonts w:ascii="Arial" w:cs="Arial" w:eastAsia="Arial" w:hAnsi="Arial"/>
          <w:color w:val="666666"/>
          <w:sz w:val="20"/>
          <w:szCs w:val="20"/>
        </w:rPr>
        <w:t xml:space="preserve">Architecture Working Draft — David / OpenIE</w:t>
      </w:r>
    </w:p>
    <w:p>
      <w:pPr>
        <w:pStyle w:val="Heading1"/>
        <w:spacing w:after="180" w:before="360"/>
      </w:pPr>
      <w:r>
        <w:rPr>
          <w:rFonts w:ascii="Arial" w:cs="Arial" w:eastAsia="Arial" w:hAnsi="Arial"/>
          <w:b/>
          <w:bCs/>
          <w:sz w:val="32"/>
          <w:szCs w:val="32"/>
        </w:rPr>
        <w:t xml:space="preserve">0. Premise</w:t>
      </w:r>
    </w:p>
    <w:p>
      <w:pPr>
        <w:spacing w:after="140" w:line="300"/>
      </w:pPr>
      <w:r>
        <w:rPr>
          <w:rFonts w:ascii="Arial" w:cs="Arial" w:eastAsia="Arial" w:hAnsi="Arial"/>
          <w:sz w:val="22"/>
          <w:szCs w:val="22"/>
        </w:rPr>
        <w:t xml:space="preserve">AI is not free yet. The internet is. The asymmetry is structural, not accidental — frontier AI is concentrated capital chasing benchmark deltas, with a handful of operators holding the off switch on every deployed system. This document specifies a substrate designed to invert that: a free, always-available, energy-optimized AI system whose default behavior is to resolve work deterministically and only invoke a neural model when nothing else can. It runs in a browser. It runs on commodity CPUs. It cannot be turned off because no one entity runs it.</w:t>
      </w:r>
    </w:p>
    <w:p>
      <w:pPr>
        <w:spacing w:after="140" w:line="300"/>
      </w:pPr>
      <w:r>
        <w:rPr>
          <w:rFonts w:ascii="Arial" w:cs="Arial" w:eastAsia="Arial" w:hAnsi="Arial"/>
          <w:sz w:val="22"/>
          <w:szCs w:val="22"/>
        </w:rPr>
        <w:t xml:space="preserve">Three guiding truths shape the architecture:</w:t>
      </w:r>
    </w:p>
    <w:p>
      <w:pPr>
        <w:pStyle w:val="ListParagraph"/>
        <w:numPr>
          <w:ilvl w:val="0"/>
          <w:numId w:val="2"/>
        </w:numPr>
        <w:spacing w:after="80" w:line="280"/>
      </w:pPr>
      <w:r>
        <w:rPr>
          <w:rFonts w:ascii="Arial" w:cs="Arial" w:eastAsia="Arial" w:hAnsi="Arial"/>
          <w:sz w:val="22"/>
          <w:szCs w:val="22"/>
        </w:rPr>
        <w:t xml:space="preserve">LUT before compute. If the answer is known, look it up.</w:t>
      </w:r>
    </w:p>
    <w:p>
      <w:pPr>
        <w:pStyle w:val="ListParagraph"/>
        <w:numPr>
          <w:ilvl w:val="0"/>
          <w:numId w:val="2"/>
        </w:numPr>
        <w:spacing w:after="80" w:line="280"/>
      </w:pPr>
      <w:r>
        <w:rPr>
          <w:rFonts w:ascii="Arial" w:cs="Arial" w:eastAsia="Arial" w:hAnsi="Arial"/>
          <w:sz w:val="22"/>
          <w:szCs w:val="22"/>
        </w:rPr>
        <w:t xml:space="preserve">Deterministic before stochastic. Stochastic computation is justified only when the input is genuinely unbounded or the output is genuinely creative.</w:t>
      </w:r>
    </w:p>
    <w:p>
      <w:pPr>
        <w:pStyle w:val="ListParagraph"/>
        <w:numPr>
          <w:ilvl w:val="0"/>
          <w:numId w:val="2"/>
        </w:numPr>
        <w:spacing w:after="80" w:line="280"/>
      </w:pPr>
      <w:r>
        <w:rPr>
          <w:rFonts w:ascii="Arial" w:cs="Arial" w:eastAsia="Arial" w:hAnsi="Arial"/>
          <w:sz w:val="22"/>
          <w:szCs w:val="22"/>
        </w:rPr>
        <w:t xml:space="preserve">Composition before scale. Many small deterministic pieces plus one small neural piece beats one giant neural piece on every axis that matters: cost, debuggability, extensibility, energy.</w:t>
      </w:r>
    </w:p>
    <w:p>
      <w:pPr>
        <w:spacing w:after="140" w:line="300"/>
      </w:pPr>
      <w:r>
        <w:rPr>
          <w:rFonts w:ascii="Arial" w:cs="Arial" w:eastAsia="Arial" w:hAnsi="Arial"/>
          <w:sz w:val="22"/>
          <w:szCs w:val="22"/>
        </w:rPr>
        <w:t xml:space="preserve">This document is organized as eight sub-pieces. Each is independently specifiable. Together they compose the substrate.</w:t>
      </w:r>
    </w:p>
    <w:p>
      <w:pPr>
        <w:pStyle w:val="Heading1"/>
        <w:spacing w:after="180" w:before="360"/>
      </w:pPr>
      <w:r>
        <w:rPr>
          <w:rFonts w:ascii="Arial" w:cs="Arial" w:eastAsia="Arial" w:hAnsi="Arial"/>
          <w:b/>
          <w:bCs/>
          <w:sz w:val="32"/>
          <w:szCs w:val="32"/>
        </w:rPr>
        <w:t xml:space="preserve">1. Tier Architecture</w:t>
      </w:r>
    </w:p>
    <w:p>
      <w:pPr>
        <w:spacing w:after="140" w:line="300"/>
      </w:pPr>
      <w:r>
        <w:rPr>
          <w:rFonts w:ascii="Arial" w:cs="Arial" w:eastAsia="Arial" w:hAnsi="Arial"/>
          <w:sz w:val="22"/>
          <w:szCs w:val="22"/>
        </w:rPr>
        <w:t xml:space="preserve">The substrate resolves every query through an ordered hierarchy of tiers. Resolution stops at the lowest tier capable of producing a sufficient answer. Energy cost rises by roughly two orders of magnitude per tier; query frequency falls by roughly the same.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2200"/>
        <w:gridCol w:w="1880"/>
        <w:gridCol w:w="1880"/>
      </w:tblGrid>
      <w:tr>
        <w:trPr>
          <w:tblHeader/>
        </w:trPr>
        <w:tc>
          <w:tcPr>
            <w:tcW w:type="dxa" w:w="1200"/>
            <w:tcBorders>
              <w:top w:val="single" w:color="BBBBBB" w:sz="4"/>
              <w:left w:val="single" w:color="BBBBBB" w:sz="4"/>
              <w:bottom w:val="single" w:color="BBBBBB" w:sz="4"/>
              <w:right w:val="single" w:color="BBBBBB" w:sz="4"/>
            </w:tcBorders>
            <w:shd w:fill="E8EEF4" w:val="clear"/>
            <w:tcMar>
              <w:top w:type="dxa" w:w="80"/>
              <w:left w:type="dxa" w:w="120"/>
              <w:bottom w:type="dxa" w:w="80"/>
              <w:right w:type="dxa" w:w="120"/>
            </w:tcMar>
          </w:tcPr>
          <w:p>
            <w:r>
              <w:rPr>
                <w:rFonts w:ascii="Arial" w:cs="Arial" w:eastAsia="Arial" w:hAnsi="Arial"/>
                <w:b/>
                <w:bCs/>
                <w:sz w:val="20"/>
                <w:szCs w:val="20"/>
              </w:rPr>
              <w:t xml:space="preserve">Tier</w:t>
            </w:r>
          </w:p>
        </w:tc>
        <w:tc>
          <w:tcPr>
            <w:tcW w:type="dxa" w:w="2200"/>
            <w:tcBorders>
              <w:top w:val="single" w:color="BBBBBB" w:sz="4"/>
              <w:left w:val="single" w:color="BBBBBB" w:sz="4"/>
              <w:bottom w:val="single" w:color="BBBBBB" w:sz="4"/>
              <w:right w:val="single" w:color="BBBBBB" w:sz="4"/>
            </w:tcBorders>
            <w:shd w:fill="E8EEF4" w:val="clear"/>
            <w:tcMar>
              <w:top w:type="dxa" w:w="80"/>
              <w:left w:type="dxa" w:w="120"/>
              <w:bottom w:type="dxa" w:w="80"/>
              <w:right w:type="dxa" w:w="120"/>
            </w:tcMar>
          </w:tcPr>
          <w:p>
            <w:r>
              <w:rPr>
                <w:rFonts w:ascii="Arial" w:cs="Arial" w:eastAsia="Arial" w:hAnsi="Arial"/>
                <w:b/>
                <w:bCs/>
                <w:sz w:val="20"/>
                <w:szCs w:val="20"/>
              </w:rPr>
              <w:t xml:space="preserve">Mechanism</w:t>
            </w:r>
          </w:p>
        </w:tc>
        <w:tc>
          <w:tcPr>
            <w:tcW w:type="dxa" w:w="2200"/>
            <w:tcBorders>
              <w:top w:val="single" w:color="BBBBBB" w:sz="4"/>
              <w:left w:val="single" w:color="BBBBBB" w:sz="4"/>
              <w:bottom w:val="single" w:color="BBBBBB" w:sz="4"/>
              <w:right w:val="single" w:color="BBBBBB" w:sz="4"/>
            </w:tcBorders>
            <w:shd w:fill="E8EEF4" w:val="clear"/>
            <w:tcMar>
              <w:top w:type="dxa" w:w="80"/>
              <w:left w:type="dxa" w:w="120"/>
              <w:bottom w:type="dxa" w:w="80"/>
              <w:right w:type="dxa" w:w="120"/>
            </w:tcMar>
          </w:tcPr>
          <w:p>
            <w:r>
              <w:rPr>
                <w:rFonts w:ascii="Arial" w:cs="Arial" w:eastAsia="Arial" w:hAnsi="Arial"/>
                <w:b/>
                <w:bCs/>
                <w:sz w:val="20"/>
                <w:szCs w:val="20"/>
              </w:rPr>
              <w:t xml:space="preserve">Handles</w:t>
            </w:r>
          </w:p>
        </w:tc>
        <w:tc>
          <w:tcPr>
            <w:tcW w:type="dxa" w:w="1880"/>
            <w:tcBorders>
              <w:top w:val="single" w:color="BBBBBB" w:sz="4"/>
              <w:left w:val="single" w:color="BBBBBB" w:sz="4"/>
              <w:bottom w:val="single" w:color="BBBBBB" w:sz="4"/>
              <w:right w:val="single" w:color="BBBBBB" w:sz="4"/>
            </w:tcBorders>
            <w:shd w:fill="E8EEF4" w:val="clear"/>
            <w:tcMar>
              <w:top w:type="dxa" w:w="80"/>
              <w:left w:type="dxa" w:w="120"/>
              <w:bottom w:type="dxa" w:w="80"/>
              <w:right w:type="dxa" w:w="120"/>
            </w:tcMar>
          </w:tcPr>
          <w:p>
            <w:r>
              <w:rPr>
                <w:rFonts w:ascii="Arial" w:cs="Arial" w:eastAsia="Arial" w:hAnsi="Arial"/>
                <w:b/>
                <w:bCs/>
                <w:sz w:val="20"/>
                <w:szCs w:val="20"/>
              </w:rPr>
              <w:t xml:space="preserve">Order of Cost</w:t>
            </w:r>
          </w:p>
        </w:tc>
        <w:tc>
          <w:tcPr>
            <w:tcW w:type="dxa" w:w="1880"/>
            <w:tcBorders>
              <w:top w:val="single" w:color="BBBBBB" w:sz="4"/>
              <w:left w:val="single" w:color="BBBBBB" w:sz="4"/>
              <w:bottom w:val="single" w:color="BBBBBB" w:sz="4"/>
              <w:right w:val="single" w:color="BBBBBB" w:sz="4"/>
            </w:tcBorders>
            <w:shd w:fill="E8EEF4" w:val="clear"/>
            <w:tcMar>
              <w:top w:type="dxa" w:w="80"/>
              <w:left w:type="dxa" w:w="120"/>
              <w:bottom w:type="dxa" w:w="80"/>
              <w:right w:type="dxa" w:w="120"/>
            </w:tcMar>
          </w:tcPr>
          <w:p>
            <w:r>
              <w:rPr>
                <w:rFonts w:ascii="Arial" w:cs="Arial" w:eastAsia="Arial" w:hAnsi="Arial"/>
                <w:b/>
                <w:bCs/>
                <w:sz w:val="20"/>
                <w:szCs w:val="20"/>
              </w:rPr>
              <w:t xml:space="preserve">Expected Share</w:t>
            </w:r>
          </w:p>
        </w:tc>
      </w:tr>
      <w:tr>
        <w:tc>
          <w:tcPr>
            <w:tcW w:type="dxa" w:w="1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T1</w:t>
            </w:r>
          </w:p>
        </w:tc>
        <w:tc>
          <w:tcPr>
            <w:tcW w:type="dxa" w:w="2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Lookup table / content-addressed cache</w:t>
            </w:r>
          </w:p>
        </w:tc>
        <w:tc>
          <w:tcPr>
            <w:tcW w:type="dxa" w:w="2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Solved questions, prior answers, exact matches</w:t>
            </w:r>
          </w:p>
        </w:tc>
        <w:tc>
          <w:tcPr>
            <w:tcW w:type="dxa" w:w="188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nanojoules</w:t>
            </w:r>
          </w:p>
        </w:tc>
        <w:tc>
          <w:tcPr>
            <w:tcW w:type="dxa" w:w="188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40–60%</w:t>
            </w:r>
          </w:p>
        </w:tc>
      </w:tr>
      <w:tr>
        <w:tc>
          <w:tcPr>
            <w:tcW w:type="dxa" w:w="1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T2</w:t>
            </w:r>
          </w:p>
        </w:tc>
        <w:tc>
          <w:tcPr>
            <w:tcW w:type="dxa" w:w="2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Deterministic compute (state machines, parsers, rules)</w:t>
            </w:r>
          </w:p>
        </w:tc>
        <w:tc>
          <w:tcPr>
            <w:tcW w:type="dxa" w:w="2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Extraction, validation, classification, transformation</w:t>
            </w:r>
          </w:p>
        </w:tc>
        <w:tc>
          <w:tcPr>
            <w:tcW w:type="dxa" w:w="188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microjoules</w:t>
            </w:r>
          </w:p>
        </w:tc>
        <w:tc>
          <w:tcPr>
            <w:tcW w:type="dxa" w:w="188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25–40%</w:t>
            </w:r>
          </w:p>
        </w:tc>
      </w:tr>
      <w:tr>
        <w:tc>
          <w:tcPr>
            <w:tcW w:type="dxa" w:w="1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T3</w:t>
            </w:r>
          </w:p>
        </w:tc>
        <w:tc>
          <w:tcPr>
            <w:tcW w:type="dxa" w:w="2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ECS coordination + small specialist models</w:t>
            </w:r>
          </w:p>
        </w:tc>
        <w:tc>
          <w:tcPr>
            <w:tcW w:type="dxa" w:w="2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Composition, multi-step deterministic flows, narrow ML (NER, intent, embeddings)</w:t>
            </w:r>
          </w:p>
        </w:tc>
        <w:tc>
          <w:tcPr>
            <w:tcW w:type="dxa" w:w="188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millijoules</w:t>
            </w:r>
          </w:p>
        </w:tc>
        <w:tc>
          <w:tcPr>
            <w:tcW w:type="dxa" w:w="188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8–15%</w:t>
            </w:r>
          </w:p>
        </w:tc>
      </w:tr>
      <w:tr>
        <w:tc>
          <w:tcPr>
            <w:tcW w:type="dxa" w:w="1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T4</w:t>
            </w:r>
          </w:p>
        </w:tc>
        <w:tc>
          <w:tcPr>
            <w:tcW w:type="dxa" w:w="2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Neural escape (CPU-bound LLM via eLLM)</w:t>
            </w:r>
          </w:p>
        </w:tc>
        <w:tc>
          <w:tcPr>
            <w:tcW w:type="dxa" w:w="2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Free-text generation, fuzzy reasoning, novel synthesis</w:t>
            </w:r>
          </w:p>
        </w:tc>
        <w:tc>
          <w:tcPr>
            <w:tcW w:type="dxa" w:w="188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joules</w:t>
            </w:r>
          </w:p>
        </w:tc>
        <w:tc>
          <w:tcPr>
            <w:tcW w:type="dxa" w:w="188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2–8%</w:t>
            </w:r>
          </w:p>
        </w:tc>
      </w:tr>
    </w:tbl>
    <w:p>
      <w:pPr>
        <w:spacing w:after="120"/>
      </w:pPr>
      <w:r>
        <w:rPr>
          <w:rFonts w:ascii="Arial" w:cs="Arial" w:eastAsia="Arial" w:hAnsi="Arial"/>
          <w:sz w:val="22"/>
          <w:szCs w:val="22"/>
        </w:rPr>
        <w:t xml:space="preserve"/>
      </w:r>
    </w:p>
    <w:p>
      <w:pPr>
        <w:spacing w:after="140" w:line="300"/>
      </w:pPr>
      <w:r>
        <w:rPr>
          <w:rFonts w:ascii="Arial" w:cs="Arial" w:eastAsia="Arial" w:hAnsi="Arial"/>
          <w:sz w:val="22"/>
          <w:szCs w:val="22"/>
        </w:rPr>
        <w:t xml:space="preserve">Target ratio: a system in which 95%+ of queries resolve at T1–T3 has an average energy-per-query roughly 1–2 orders of magnitude below a pure-LLM system, even when its T4 stage is identical to current inference. This is the central efficiency claim.</w:t>
      </w:r>
    </w:p>
    <w:p>
      <w:pPr>
        <w:pStyle w:val="Heading2"/>
        <w:spacing w:after="140" w:before="280"/>
      </w:pPr>
      <w:r>
        <w:rPr>
          <w:rFonts w:ascii="Arial" w:cs="Arial" w:eastAsia="Arial" w:hAnsi="Arial"/>
          <w:b/>
          <w:bCs/>
          <w:sz w:val="26"/>
          <w:szCs w:val="26"/>
        </w:rPr>
        <w:t xml:space="preserve">1.1 Inter-tier contract</w:t>
      </w:r>
    </w:p>
    <w:p>
      <w:pPr>
        <w:spacing w:after="140" w:line="300"/>
      </w:pPr>
      <w:r>
        <w:rPr>
          <w:rFonts w:ascii="Arial" w:cs="Arial" w:eastAsia="Arial" w:hAnsi="Arial"/>
          <w:sz w:val="22"/>
          <w:szCs w:val="22"/>
        </w:rPr>
        <w:t xml:space="preserve">Each tier exposes the same interface: take a typed query, return either a typed result with a confidence score or a defer signal. Defer escalates to the next tier. This makes tiers independently testable and replaceable.</w:t>
      </w:r>
    </w:p>
    <w:p>
      <w:pPr>
        <w:shd w:fill="F2F2F2" w:val="clear"/>
        <w:spacing w:after="140" w:line="260"/>
      </w:pPr>
      <w:r>
        <w:rPr>
          <w:rFonts w:ascii="Consolas" w:cs="Consolas" w:eastAsia="Consolas" w:hAnsi="Consolas"/>
          <w:sz w:val="20"/>
          <w:szCs w:val="20"/>
        </w:rPr>
        <w:t xml:space="preserve">trait Tier {
  fn resolve(&amp;self, query: TypedQuery) -&gt; TierOutcome;
}
enum TierOutcome {
  Resolved { result: TypedResult, confidence: f32, joules: f32 },
  Defer   { reason: DeferReason },
}</w:t>
      </w:r>
    </w:p>
    <w:p>
      <w:pPr>
        <w:pStyle w:val="Heading1"/>
        <w:spacing w:after="180" w:before="360"/>
      </w:pPr>
      <w:r>
        <w:rPr>
          <w:rFonts w:ascii="Arial" w:cs="Arial" w:eastAsia="Arial" w:hAnsi="Arial"/>
          <w:b/>
          <w:bCs/>
          <w:sz w:val="32"/>
          <w:szCs w:val="32"/>
        </w:rPr>
        <w:t xml:space="preserve">2. Tier Dispatch (Routing Protocol)</w:t>
      </w:r>
    </w:p>
    <w:p>
      <w:pPr>
        <w:spacing w:after="140" w:line="300"/>
      </w:pPr>
      <w:r>
        <w:rPr>
          <w:rFonts w:ascii="Arial" w:cs="Arial" w:eastAsia="Arial" w:hAnsi="Arial"/>
          <w:sz w:val="22"/>
          <w:szCs w:val="22"/>
        </w:rPr>
        <w:t xml:space="preserve">Routing must itself be deterministic, or the architecture's premise collapses. A stochastic router that decides where to send queries reintroduces the very problem the tiers are designed to avoid. The dispatcher is therefore a pure function from query type to tier sequence.</w:t>
      </w:r>
    </w:p>
    <w:p>
      <w:pPr>
        <w:pStyle w:val="Heading2"/>
        <w:spacing w:after="140" w:before="280"/>
      </w:pPr>
      <w:r>
        <w:rPr>
          <w:rFonts w:ascii="Arial" w:cs="Arial" w:eastAsia="Arial" w:hAnsi="Arial"/>
          <w:b/>
          <w:bCs/>
          <w:sz w:val="26"/>
          <w:szCs w:val="26"/>
        </w:rPr>
        <w:t xml:space="preserve">2.1 Query typing</w:t>
      </w:r>
    </w:p>
    <w:p>
      <w:pPr>
        <w:spacing w:after="140" w:line="300"/>
      </w:pPr>
      <w:r>
        <w:rPr>
          <w:rFonts w:ascii="Arial" w:cs="Arial" w:eastAsia="Arial" w:hAnsi="Arial"/>
          <w:sz w:val="22"/>
          <w:szCs w:val="22"/>
        </w:rPr>
        <w:t xml:space="preserve">Queries enter the system carrying a type tag. Three sources of typing, in priority order:</w:t>
      </w:r>
    </w:p>
    <w:p>
      <w:pPr>
        <w:pStyle w:val="ListParagraph"/>
        <w:numPr>
          <w:ilvl w:val="0"/>
          <w:numId w:val="2"/>
        </w:numPr>
        <w:spacing w:after="80" w:line="280"/>
      </w:pPr>
      <w:r>
        <w:rPr>
          <w:rFonts w:ascii="Arial" w:cs="Arial" w:eastAsia="Arial" w:hAnsi="Arial"/>
          <w:sz w:val="22"/>
          <w:szCs w:val="22"/>
        </w:rPr>
        <w:t xml:space="preserve">Schema-typed: the caller provides a structured request (JSON schema, protobuf, typed RPC). Routes by schema.</w:t>
      </w:r>
    </w:p>
    <w:p>
      <w:pPr>
        <w:pStyle w:val="ListParagraph"/>
        <w:numPr>
          <w:ilvl w:val="0"/>
          <w:numId w:val="2"/>
        </w:numPr>
        <w:spacing w:after="80" w:line="280"/>
      </w:pPr>
      <w:r>
        <w:rPr>
          <w:rFonts w:ascii="Arial" w:cs="Arial" w:eastAsia="Arial" w:hAnsi="Arial"/>
          <w:sz w:val="22"/>
          <w:szCs w:val="22"/>
        </w:rPr>
        <w:t xml:space="preserve">Pattern-typed: the input matches a registered pattern (regex, grammar, content-addressed hash). Routes by match.</w:t>
      </w:r>
    </w:p>
    <w:p>
      <w:pPr>
        <w:pStyle w:val="ListParagraph"/>
        <w:numPr>
          <w:ilvl w:val="0"/>
          <w:numId w:val="2"/>
        </w:numPr>
        <w:spacing w:after="80" w:line="280"/>
      </w:pPr>
      <w:r>
        <w:rPr>
          <w:rFonts w:ascii="Arial" w:cs="Arial" w:eastAsia="Arial" w:hAnsi="Arial"/>
          <w:sz w:val="22"/>
          <w:szCs w:val="22"/>
        </w:rPr>
        <w:t xml:space="preserve">Untyped: free text or binary blob. Routes to a deterministic classifier (T2-cost) that emits a type tag, then re-enters the dispatcher.</w:t>
      </w:r>
    </w:p>
    <w:p>
      <w:pPr>
        <w:pStyle w:val="Heading2"/>
        <w:spacing w:after="140" w:before="280"/>
      </w:pPr>
      <w:r>
        <w:rPr>
          <w:rFonts w:ascii="Arial" w:cs="Arial" w:eastAsia="Arial" w:hAnsi="Arial"/>
          <w:b/>
          <w:bCs/>
          <w:sz w:val="26"/>
          <w:szCs w:val="26"/>
        </w:rPr>
        <w:t xml:space="preserve">2.2 Dispatch table</w:t>
      </w:r>
    </w:p>
    <w:p>
      <w:pPr>
        <w:spacing w:after="140" w:line="300"/>
      </w:pPr>
      <w:r>
        <w:rPr>
          <w:rFonts w:ascii="Arial" w:cs="Arial" w:eastAsia="Arial" w:hAnsi="Arial"/>
          <w:sz w:val="22"/>
          <w:szCs w:val="22"/>
        </w:rPr>
        <w:t xml:space="preserve">Each registered query type carries a tier preference list — the ordered tiers willing to attempt it. The dispatcher walks this list, calling resolve on each tier until one returns Resolved with confidence ≥ the type's threshold, or the list exhausts. Exhaustion is a typed failure, not silent fallback.</w:t>
      </w:r>
    </w:p>
    <w:p>
      <w:pPr>
        <w:pStyle w:val="Heading2"/>
        <w:spacing w:after="140" w:before="280"/>
      </w:pPr>
      <w:r>
        <w:rPr>
          <w:rFonts w:ascii="Arial" w:cs="Arial" w:eastAsia="Arial" w:hAnsi="Arial"/>
          <w:b/>
          <w:bCs/>
          <w:sz w:val="26"/>
          <w:szCs w:val="26"/>
        </w:rPr>
        <w:t xml:space="preserve">2.3 Anti-pattern: stochastic routing</w:t>
      </w:r>
    </w:p>
    <w:p>
      <w:pPr>
        <w:spacing w:after="140" w:line="300"/>
      </w:pPr>
      <w:r>
        <w:rPr>
          <w:rFonts w:ascii="Arial" w:cs="Arial" w:eastAsia="Arial" w:hAnsi="Arial"/>
          <w:sz w:val="22"/>
          <w:szCs w:val="22"/>
        </w:rPr>
        <w:t xml:space="preserve">It is tempting to use a small LLM as a router ("this looks like a math question, send to calculator"). This is forbidden by the architecture. Routing decisions must be reproducible bit-for-bit across nodes. A pattern that requires fuzzy classification to route belongs at T3 with a deterministic small specialist model whose output is logged and cacheable, not at the dispatcher.</w:t>
      </w:r>
    </w:p>
    <w:p>
      <w:pPr>
        <w:pStyle w:val="Heading1"/>
        <w:spacing w:after="180" w:before="360"/>
      </w:pPr>
      <w:r>
        <w:rPr>
          <w:rFonts w:ascii="Arial" w:cs="Arial" w:eastAsia="Arial" w:hAnsi="Arial"/>
          <w:b/>
          <w:bCs/>
          <w:sz w:val="32"/>
          <w:szCs w:val="32"/>
        </w:rPr>
        <w:t xml:space="preserve">3. T1 — Lookup Layer</w:t>
      </w:r>
    </w:p>
    <w:p>
      <w:pPr>
        <w:spacing w:after="140" w:line="300"/>
      </w:pPr>
      <w:r>
        <w:rPr>
          <w:rFonts w:ascii="Arial" w:cs="Arial" w:eastAsia="Arial" w:hAnsi="Arial"/>
          <w:sz w:val="22"/>
          <w:szCs w:val="22"/>
        </w:rPr>
        <w:t xml:space="preserve">T1 is a content-addressed cache. Inputs hash to keys; keys map to results. The web learned this with HTTP caching; T1 applies the same primitive to AI workloads.</w:t>
      </w:r>
    </w:p>
    <w:p>
      <w:pPr>
        <w:pStyle w:val="Heading2"/>
        <w:spacing w:after="140" w:before="280"/>
      </w:pPr>
      <w:r>
        <w:rPr>
          <w:rFonts w:ascii="Arial" w:cs="Arial" w:eastAsia="Arial" w:hAnsi="Arial"/>
          <w:b/>
          <w:bCs/>
          <w:sz w:val="26"/>
          <w:szCs w:val="26"/>
        </w:rPr>
        <w:t xml:space="preserve">3.1 What gets cached</w:t>
      </w:r>
    </w:p>
    <w:p>
      <w:pPr>
        <w:pStyle w:val="ListParagraph"/>
        <w:numPr>
          <w:ilvl w:val="0"/>
          <w:numId w:val="2"/>
        </w:numPr>
        <w:spacing w:after="80" w:line="280"/>
      </w:pPr>
      <w:r>
        <w:rPr>
          <w:rFonts w:ascii="Arial" w:cs="Arial" w:eastAsia="Arial" w:hAnsi="Arial"/>
          <w:sz w:val="22"/>
          <w:szCs w:val="22"/>
        </w:rPr>
        <w:t xml:space="preserve">Fully-resolved answers from prior queries (with provenance: which tier resolved them).</w:t>
      </w:r>
    </w:p>
    <w:p>
      <w:pPr>
        <w:pStyle w:val="ListParagraph"/>
        <w:numPr>
          <w:ilvl w:val="0"/>
          <w:numId w:val="2"/>
        </w:numPr>
        <w:spacing w:after="80" w:line="280"/>
      </w:pPr>
      <w:r>
        <w:rPr>
          <w:rFonts w:ascii="Arial" w:cs="Arial" w:eastAsia="Arial" w:hAnsi="Arial"/>
          <w:sz w:val="22"/>
          <w:szCs w:val="22"/>
        </w:rPr>
        <w:t xml:space="preserve">Canonical knowledge: facts, definitions, conversion tables, taxonomies.</w:t>
      </w:r>
    </w:p>
    <w:p>
      <w:pPr>
        <w:pStyle w:val="ListParagraph"/>
        <w:numPr>
          <w:ilvl w:val="0"/>
          <w:numId w:val="2"/>
        </w:numPr>
        <w:spacing w:after="80" w:line="280"/>
      </w:pPr>
      <w:r>
        <w:rPr>
          <w:rFonts w:ascii="Arial" w:cs="Arial" w:eastAsia="Arial" w:hAnsi="Arial"/>
          <w:sz w:val="22"/>
          <w:szCs w:val="22"/>
        </w:rPr>
        <w:t xml:space="preserve">Schema validations: does this input shape conform to this schema.</w:t>
      </w:r>
    </w:p>
    <w:p>
      <w:pPr>
        <w:pStyle w:val="ListParagraph"/>
        <w:numPr>
          <w:ilvl w:val="0"/>
          <w:numId w:val="2"/>
        </w:numPr>
        <w:spacing w:after="80" w:line="280"/>
      </w:pPr>
      <w:r>
        <w:rPr>
          <w:rFonts w:ascii="Arial" w:cs="Arial" w:eastAsia="Arial" w:hAnsi="Arial"/>
          <w:sz w:val="22"/>
          <w:szCs w:val="22"/>
        </w:rPr>
        <w:t xml:space="preserve">Embeddings of known inputs (for nearest-neighbor at T1.5 if enabled).</w:t>
      </w:r>
    </w:p>
    <w:p>
      <w:pPr>
        <w:pStyle w:val="Heading2"/>
        <w:spacing w:after="140" w:before="280"/>
      </w:pPr>
      <w:r>
        <w:rPr>
          <w:rFonts w:ascii="Arial" w:cs="Arial" w:eastAsia="Arial" w:hAnsi="Arial"/>
          <w:b/>
          <w:bCs/>
          <w:sz w:val="26"/>
          <w:szCs w:val="26"/>
        </w:rPr>
        <w:t xml:space="preserve">3.2 Cache invalidation</w:t>
      </w:r>
    </w:p>
    <w:p>
      <w:pPr>
        <w:spacing w:after="140" w:line="300"/>
      </w:pPr>
      <w:r>
        <w:rPr>
          <w:rFonts w:ascii="Arial" w:cs="Arial" w:eastAsia="Arial" w:hAnsi="Arial"/>
          <w:sz w:val="22"/>
          <w:szCs w:val="22"/>
        </w:rPr>
        <w:t xml:space="preserve">The hardest problem in computer science, and unavoidable. Three classes of cache entry:</w:t>
      </w:r>
    </w:p>
    <w:p>
      <w:pPr>
        <w:pStyle w:val="ListParagraph"/>
        <w:numPr>
          <w:ilvl w:val="0"/>
          <w:numId w:val="2"/>
        </w:numPr>
        <w:spacing w:after="80" w:line="280"/>
      </w:pPr>
      <w:r>
        <w:rPr>
          <w:rFonts w:ascii="Arial" w:cs="Arial" w:eastAsia="Arial" w:hAnsi="Arial"/>
          <w:sz w:val="22"/>
          <w:szCs w:val="22"/>
        </w:rPr>
        <w:t xml:space="preserve">Immutable: mathematical facts, finalized historical data. Never invalidate.</w:t>
      </w:r>
    </w:p>
    <w:p>
      <w:pPr>
        <w:pStyle w:val="ListParagraph"/>
        <w:numPr>
          <w:ilvl w:val="0"/>
          <w:numId w:val="2"/>
        </w:numPr>
        <w:spacing w:after="80" w:line="280"/>
      </w:pPr>
      <w:r>
        <w:rPr>
          <w:rFonts w:ascii="Arial" w:cs="Arial" w:eastAsia="Arial" w:hAnsi="Arial"/>
          <w:sz w:val="22"/>
          <w:szCs w:val="22"/>
        </w:rPr>
        <w:t xml:space="preserve">Versioned: tied to a published artifact version. Invalidates when the artifact updates.</w:t>
      </w:r>
    </w:p>
    <w:p>
      <w:pPr>
        <w:pStyle w:val="ListParagraph"/>
        <w:numPr>
          <w:ilvl w:val="0"/>
          <w:numId w:val="2"/>
        </w:numPr>
        <w:spacing w:after="80" w:line="280"/>
      </w:pPr>
      <w:r>
        <w:rPr>
          <w:rFonts w:ascii="Arial" w:cs="Arial" w:eastAsia="Arial" w:hAnsi="Arial"/>
          <w:sz w:val="22"/>
          <w:szCs w:val="22"/>
        </w:rPr>
        <w:t xml:space="preserve">TTL: time-bounded freshness. Expires on schedule.</w:t>
      </w:r>
    </w:p>
    <w:p>
      <w:pPr>
        <w:spacing w:after="140" w:line="300"/>
      </w:pPr>
      <w:r>
        <w:rPr>
          <w:rFonts w:ascii="Arial" w:cs="Arial" w:eastAsia="Arial" w:hAnsi="Arial"/>
          <w:sz w:val="22"/>
          <w:szCs w:val="22"/>
        </w:rPr>
        <w:t xml:space="preserve">Mixing classes in one cache is a category error. Each class is a separate logical store with its own eviction policy.</w:t>
      </w:r>
    </w:p>
    <w:p>
      <w:pPr>
        <w:pStyle w:val="Heading2"/>
        <w:spacing w:after="140" w:before="280"/>
      </w:pPr>
      <w:r>
        <w:rPr>
          <w:rFonts w:ascii="Arial" w:cs="Arial" w:eastAsia="Arial" w:hAnsi="Arial"/>
          <w:b/>
          <w:bCs/>
          <w:sz w:val="26"/>
          <w:szCs w:val="26"/>
        </w:rPr>
        <w:t xml:space="preserve">3.3 The cache-grows-from-use loop</w:t>
      </w:r>
    </w:p>
    <w:p>
      <w:pPr>
        <w:spacing w:after="140" w:line="300"/>
      </w:pPr>
      <w:r>
        <w:rPr>
          <w:rFonts w:ascii="Arial" w:cs="Arial" w:eastAsia="Arial" w:hAnsi="Arial"/>
          <w:sz w:val="22"/>
          <w:szCs w:val="22"/>
        </w:rPr>
        <w:t xml:space="preserve">Every successful T2/T3/T4 resolution is a candidate T1 entry for next time. This is the single most important learning loop in the system: it makes the substrate cheaper as it is used, not more expensive. The neural model teaches the lookup table; the lookup table absorbs the model's outputs into deterministic recall.</w:t>
      </w:r>
    </w:p>
    <w:p>
      <w:pPr>
        <w:pStyle w:val="Heading1"/>
        <w:spacing w:after="180" w:before="360"/>
      </w:pPr>
      <w:r>
        <w:rPr>
          <w:rFonts w:ascii="Arial" w:cs="Arial" w:eastAsia="Arial" w:hAnsi="Arial"/>
          <w:b/>
          <w:bCs/>
          <w:sz w:val="32"/>
          <w:szCs w:val="32"/>
        </w:rPr>
        <w:t xml:space="preserve">4. T2 — Deterministic Substrate</w:t>
      </w:r>
    </w:p>
    <w:p>
      <w:pPr>
        <w:spacing w:after="140" w:line="300"/>
      </w:pPr>
      <w:r>
        <w:rPr>
          <w:rFonts w:ascii="Arial" w:cs="Arial" w:eastAsia="Arial" w:hAnsi="Arial"/>
          <w:sz w:val="22"/>
          <w:szCs w:val="22"/>
        </w:rPr>
        <w:t xml:space="preserve">T2 is where most economic work resolves. The architecture is ECS (Entity-Component-System) plus state machines — a pattern proven in game engines, robotics, and embedded systems, and underused in general computing.</w:t>
      </w:r>
    </w:p>
    <w:p>
      <w:pPr>
        <w:pStyle w:val="Heading2"/>
        <w:spacing w:after="140" w:before="280"/>
      </w:pPr>
      <w:r>
        <w:rPr>
          <w:rFonts w:ascii="Arial" w:cs="Arial" w:eastAsia="Arial" w:hAnsi="Arial"/>
          <w:b/>
          <w:bCs/>
          <w:sz w:val="26"/>
          <w:szCs w:val="26"/>
        </w:rPr>
        <w:t xml:space="preserve">4.1 ECS rationale</w:t>
      </w:r>
    </w:p>
    <w:p>
      <w:pPr>
        <w:spacing w:after="140" w:line="300"/>
      </w:pPr>
      <w:r>
        <w:rPr>
          <w:rFonts w:ascii="Arial" w:cs="Arial" w:eastAsia="Arial" w:hAnsi="Arial"/>
          <w:sz w:val="22"/>
          <w:szCs w:val="22"/>
        </w:rPr>
        <w:t xml:space="preserve">ECS separates data (components) from behavior (systems) and identity (entities). For an AI substrate this matters because:</w:t>
      </w:r>
    </w:p>
    <w:p>
      <w:pPr>
        <w:pStyle w:val="ListParagraph"/>
        <w:numPr>
          <w:ilvl w:val="0"/>
          <w:numId w:val="2"/>
        </w:numPr>
        <w:spacing w:after="80" w:line="280"/>
      </w:pPr>
      <w:r>
        <w:rPr>
          <w:rFonts w:ascii="Arial" w:cs="Arial" w:eastAsia="Arial" w:hAnsi="Arial"/>
          <w:sz w:val="22"/>
          <w:szCs w:val="22"/>
        </w:rPr>
        <w:t xml:space="preserve">Components are typed data. Type tags are the routing primitive from §2. ECS makes the type system first-class at runtime.</w:t>
      </w:r>
    </w:p>
    <w:p>
      <w:pPr>
        <w:pStyle w:val="ListParagraph"/>
        <w:numPr>
          <w:ilvl w:val="0"/>
          <w:numId w:val="2"/>
        </w:numPr>
        <w:spacing w:after="80" w:line="280"/>
      </w:pPr>
      <w:r>
        <w:rPr>
          <w:rFonts w:ascii="Arial" w:cs="Arial" w:eastAsia="Arial" w:hAnsi="Arial"/>
          <w:sz w:val="22"/>
          <w:szCs w:val="22"/>
        </w:rPr>
        <w:t xml:space="preserve">Systems are pure functions over component sets. They are independently testable, deterministically schedulable, and trivially parallelizable on CPU cores.</w:t>
      </w:r>
    </w:p>
    <w:p>
      <w:pPr>
        <w:pStyle w:val="ListParagraph"/>
        <w:numPr>
          <w:ilvl w:val="0"/>
          <w:numId w:val="2"/>
        </w:numPr>
        <w:spacing w:after="80" w:line="280"/>
      </w:pPr>
      <w:r>
        <w:rPr>
          <w:rFonts w:ascii="Arial" w:cs="Arial" w:eastAsia="Arial" w:hAnsi="Arial"/>
          <w:sz w:val="22"/>
          <w:szCs w:val="22"/>
        </w:rPr>
        <w:t xml:space="preserve">Entities have no behavior. Composition is by attaching components, not by inheritance. New capabilities are new components and new systems, no rewrites.</w:t>
      </w:r>
    </w:p>
    <w:p>
      <w:pPr>
        <w:pStyle w:val="Heading2"/>
        <w:spacing w:after="140" w:before="280"/>
      </w:pPr>
      <w:r>
        <w:rPr>
          <w:rFonts w:ascii="Arial" w:cs="Arial" w:eastAsia="Arial" w:hAnsi="Arial"/>
          <w:b/>
          <w:bCs/>
          <w:sz w:val="26"/>
          <w:szCs w:val="26"/>
        </w:rPr>
        <w:t xml:space="preserve">4.2 State machines as the unit of work</w:t>
      </w:r>
    </w:p>
    <w:p>
      <w:pPr>
        <w:spacing w:after="140" w:line="300"/>
      </w:pPr>
      <w:r>
        <w:rPr>
          <w:rFonts w:ascii="Arial" w:cs="Arial" w:eastAsia="Arial" w:hAnsi="Arial"/>
          <w:sz w:val="22"/>
          <w:szCs w:val="22"/>
        </w:rPr>
        <w:t xml:space="preserve">Each non-trivial deterministic capability — extracting fields, validating input, transforming a document, routing a request — is expressed as a finite state machine. Hierarchical state machines (Harel statecharts) for nested behavior. Reasons:</w:t>
      </w:r>
    </w:p>
    <w:p>
      <w:pPr>
        <w:pStyle w:val="ListParagraph"/>
        <w:numPr>
          <w:ilvl w:val="0"/>
          <w:numId w:val="2"/>
        </w:numPr>
        <w:spacing w:after="80" w:line="280"/>
      </w:pPr>
      <w:r>
        <w:rPr>
          <w:rFonts w:ascii="Arial" w:cs="Arial" w:eastAsia="Arial" w:hAnsi="Arial"/>
          <w:sz w:val="22"/>
          <w:szCs w:val="22"/>
        </w:rPr>
        <w:t xml:space="preserve">Provably terminating. Bounded states + bounded transitions = bounded execution time.</w:t>
      </w:r>
    </w:p>
    <w:p>
      <w:pPr>
        <w:pStyle w:val="ListParagraph"/>
        <w:numPr>
          <w:ilvl w:val="0"/>
          <w:numId w:val="2"/>
        </w:numPr>
        <w:spacing w:after="80" w:line="280"/>
      </w:pPr>
      <w:r>
        <w:rPr>
          <w:rFonts w:ascii="Arial" w:cs="Arial" w:eastAsia="Arial" w:hAnsi="Arial"/>
          <w:sz w:val="22"/>
          <w:szCs w:val="22"/>
        </w:rPr>
        <w:t xml:space="preserve">Visualizable. A state machine renders to a diagram. Reviewers can see the entire behavior.</w:t>
      </w:r>
    </w:p>
    <w:p>
      <w:pPr>
        <w:pStyle w:val="ListParagraph"/>
        <w:numPr>
          <w:ilvl w:val="0"/>
          <w:numId w:val="2"/>
        </w:numPr>
        <w:spacing w:after="80" w:line="280"/>
      </w:pPr>
      <w:r>
        <w:rPr>
          <w:rFonts w:ascii="Arial" w:cs="Arial" w:eastAsia="Arial" w:hAnsi="Arial"/>
          <w:sz w:val="22"/>
          <w:szCs w:val="22"/>
        </w:rPr>
        <w:t xml:space="preserve">Composable. Sub-machines plug into parent machines through defined entry/exit states.</w:t>
      </w:r>
    </w:p>
    <w:p>
      <w:pPr>
        <w:pStyle w:val="ListParagraph"/>
        <w:numPr>
          <w:ilvl w:val="0"/>
          <w:numId w:val="2"/>
        </w:numPr>
        <w:spacing w:after="80" w:line="280"/>
      </w:pPr>
      <w:r>
        <w:rPr>
          <w:rFonts w:ascii="Arial" w:cs="Arial" w:eastAsia="Arial" w:hAnsi="Arial"/>
          <w:sz w:val="22"/>
          <w:szCs w:val="22"/>
        </w:rPr>
        <w:t xml:space="preserve">Diffable. Behavior changes are graph diffs, not prose changes to a model card.</w:t>
      </w:r>
    </w:p>
    <w:p>
      <w:pPr>
        <w:pStyle w:val="Heading2"/>
        <w:spacing w:after="140" w:before="280"/>
      </w:pPr>
      <w:r>
        <w:rPr>
          <w:rFonts w:ascii="Arial" w:cs="Arial" w:eastAsia="Arial" w:hAnsi="Arial"/>
          <w:b/>
          <w:bCs/>
          <w:sz w:val="26"/>
          <w:szCs w:val="26"/>
        </w:rPr>
        <w:t xml:space="preserve">4.3 Authoring problem</w:t>
      </w:r>
    </w:p>
    <w:p>
      <w:pPr>
        <w:spacing w:after="140" w:line="300"/>
      </w:pPr>
      <w:r>
        <w:rPr>
          <w:rFonts w:ascii="Arial" w:cs="Arial" w:eastAsia="Arial" w:hAnsi="Arial"/>
          <w:sz w:val="22"/>
          <w:szCs w:val="22"/>
        </w:rPr>
        <w:t xml:space="preserve">Hand-authoring state machines is expensive. The mitigations:</w:t>
      </w:r>
    </w:p>
    <w:p>
      <w:pPr>
        <w:pStyle w:val="ListParagraph"/>
        <w:numPr>
          <w:ilvl w:val="0"/>
          <w:numId w:val="2"/>
        </w:numPr>
        <w:spacing w:after="80" w:line="280"/>
      </w:pPr>
      <w:r>
        <w:rPr>
          <w:rFonts w:ascii="Arial" w:cs="Arial" w:eastAsia="Arial" w:hAnsi="Arial"/>
          <w:sz w:val="22"/>
          <w:szCs w:val="22"/>
        </w:rPr>
        <w:t xml:space="preserve">Bootstrap from T4 traces. Run the LLM on a class of queries, observe the regularities in its output, lift them into state-machine form. The model becomes the demonstrator; the state machine becomes the production runtime.</w:t>
      </w:r>
    </w:p>
    <w:p>
      <w:pPr>
        <w:pStyle w:val="ListParagraph"/>
        <w:numPr>
          <w:ilvl w:val="0"/>
          <w:numId w:val="2"/>
        </w:numPr>
        <w:spacing w:after="80" w:line="280"/>
      </w:pPr>
      <w:r>
        <w:rPr>
          <w:rFonts w:ascii="Arial" w:cs="Arial" w:eastAsia="Arial" w:hAnsi="Arial"/>
          <w:sz w:val="22"/>
          <w:szCs w:val="22"/>
        </w:rPr>
        <w:t xml:space="preserve">Reusable component library. Common patterns (date parsing, address normalization, currency conversion, schema validation) ship as standard components. New capabilities compose existing components.</w:t>
      </w:r>
    </w:p>
    <w:p>
      <w:pPr>
        <w:pStyle w:val="ListParagraph"/>
        <w:numPr>
          <w:ilvl w:val="0"/>
          <w:numId w:val="2"/>
        </w:numPr>
        <w:spacing w:after="80" w:line="280"/>
      </w:pPr>
      <w:r>
        <w:rPr>
          <w:rFonts w:ascii="Arial" w:cs="Arial" w:eastAsia="Arial" w:hAnsi="Arial"/>
          <w:sz w:val="22"/>
          <w:szCs w:val="22"/>
        </w:rPr>
        <w:t xml:space="preserve">Declarative authoring. State machines are data, not code — JSON or RON files that the runtime executes. Anyone can publish one.</w:t>
      </w:r>
    </w:p>
    <w:p>
      <w:pPr>
        <w:pStyle w:val="Heading1"/>
        <w:spacing w:after="180" w:before="360"/>
      </w:pPr>
      <w:r>
        <w:rPr>
          <w:rFonts w:ascii="Arial" w:cs="Arial" w:eastAsia="Arial" w:hAnsi="Arial"/>
          <w:b/>
          <w:bCs/>
          <w:sz w:val="32"/>
          <w:szCs w:val="32"/>
        </w:rPr>
        <w:t xml:space="preserve">5. T3 — Coordination + Narrow Specialists</w:t>
      </w:r>
    </w:p>
    <w:p>
      <w:pPr>
        <w:spacing w:after="140" w:line="300"/>
      </w:pPr>
      <w:r>
        <w:rPr>
          <w:rFonts w:ascii="Arial" w:cs="Arial" w:eastAsia="Arial" w:hAnsi="Arial"/>
          <w:sz w:val="22"/>
          <w:szCs w:val="22"/>
        </w:rPr>
        <w:t xml:space="preserve">T3 is where deterministic systems compose into multi-step flows, and where narrow ML models live — embeddings, named-entity recognition, intent classification, small encoder-only transformers running on CPU at millijoule-scale. These are not LLMs. They are task-specific models with bounded outputs and verifiable accuracy.</w:t>
      </w:r>
    </w:p>
    <w:p>
      <w:pPr>
        <w:pStyle w:val="Heading2"/>
        <w:spacing w:after="140" w:before="280"/>
      </w:pPr>
      <w:r>
        <w:rPr>
          <w:rFonts w:ascii="Arial" w:cs="Arial" w:eastAsia="Arial" w:hAnsi="Arial"/>
          <w:b/>
          <w:bCs/>
          <w:sz w:val="26"/>
          <w:szCs w:val="26"/>
        </w:rPr>
        <w:t xml:space="preserve">5.1 Why narrow models belong here, not at T4</w:t>
      </w:r>
    </w:p>
    <w:p>
      <w:pPr>
        <w:spacing w:after="140" w:line="300"/>
      </w:pPr>
      <w:r>
        <w:rPr>
          <w:rFonts w:ascii="Arial" w:cs="Arial" w:eastAsia="Arial" w:hAnsi="Arial"/>
          <w:sz w:val="22"/>
          <w:szCs w:val="22"/>
        </w:rPr>
        <w:t xml:space="preserve">A 100M-parameter NER model on CPU costs roughly three orders of magnitude less energy than a 70B LLM and produces structured, schema-compliant output. Most tasks people currently route to GPT-class models are NER, classification, embedding, or template-filling tasks in disguise. T3 catches them before they reach T4.</w:t>
      </w:r>
    </w:p>
    <w:p>
      <w:pPr>
        <w:pStyle w:val="Heading2"/>
        <w:spacing w:after="140" w:before="280"/>
      </w:pPr>
      <w:r>
        <w:rPr>
          <w:rFonts w:ascii="Arial" w:cs="Arial" w:eastAsia="Arial" w:hAnsi="Arial"/>
          <w:b/>
          <w:bCs/>
          <w:sz w:val="26"/>
          <w:szCs w:val="26"/>
        </w:rPr>
        <w:t xml:space="preserve">5.2 Composition contract</w:t>
      </w:r>
    </w:p>
    <w:p>
      <w:pPr>
        <w:spacing w:after="140" w:line="300"/>
      </w:pPr>
      <w:r>
        <w:rPr>
          <w:rFonts w:ascii="Arial" w:cs="Arial" w:eastAsia="Arial" w:hAnsi="Arial"/>
          <w:sz w:val="22"/>
          <w:szCs w:val="22"/>
        </w:rPr>
        <w:t xml:space="preserve">T3 systems may invoke T1 and T2 freely. They may not invoke T4 directly — escalation to T4 is the dispatcher's responsibility, not a T3 system's. This prevents accidental "just call the LLM" patterns from creeping back in.</w:t>
      </w:r>
    </w:p>
    <w:p>
      <w:pPr>
        <w:pStyle w:val="Heading1"/>
        <w:spacing w:after="180" w:before="360"/>
      </w:pPr>
      <w:r>
        <w:rPr>
          <w:rFonts w:ascii="Arial" w:cs="Arial" w:eastAsia="Arial" w:hAnsi="Arial"/>
          <w:b/>
          <w:bCs/>
          <w:sz w:val="32"/>
          <w:szCs w:val="32"/>
        </w:rPr>
        <w:t xml:space="preserve">6. T4 — Neural Escape (eLLM Integration)</w:t>
      </w:r>
    </w:p>
    <w:p>
      <w:pPr>
        <w:spacing w:after="140" w:line="300"/>
      </w:pPr>
      <w:r>
        <w:rPr>
          <w:rFonts w:ascii="Arial" w:cs="Arial" w:eastAsia="Arial" w:hAnsi="Arial"/>
          <w:sz w:val="22"/>
          <w:szCs w:val="22"/>
        </w:rPr>
        <w:t xml:space="preserve">T4 is the fuzzy-logic escape hatch. It is invoked rarely, and when invoked, runs on a CPU-native inference engine (eLLM or equivalent) so the substrate's "runs everywhere" property survives.</w:t>
      </w:r>
    </w:p>
    <w:p>
      <w:pPr>
        <w:pStyle w:val="Heading2"/>
        <w:spacing w:after="140" w:before="280"/>
      </w:pPr>
      <w:r>
        <w:rPr>
          <w:rFonts w:ascii="Arial" w:cs="Arial" w:eastAsia="Arial" w:hAnsi="Arial"/>
          <w:b/>
          <w:bCs/>
          <w:sz w:val="26"/>
          <w:szCs w:val="26"/>
        </w:rPr>
        <w:t xml:space="preserve">6.1 Why eLLM specifically</w:t>
      </w:r>
    </w:p>
    <w:p>
      <w:pPr>
        <w:pStyle w:val="ListParagraph"/>
        <w:numPr>
          <w:ilvl w:val="0"/>
          <w:numId w:val="2"/>
        </w:numPr>
        <w:spacing w:after="80" w:line="280"/>
      </w:pPr>
      <w:r>
        <w:rPr>
          <w:rFonts w:ascii="Arial" w:cs="Arial" w:eastAsia="Arial" w:hAnsi="Arial"/>
          <w:sz w:val="22"/>
          <w:szCs w:val="22"/>
        </w:rPr>
        <w:t xml:space="preserve">Pure CPU inference. No GPU dependency. Universal hardware target.</w:t>
      </w:r>
    </w:p>
    <w:p>
      <w:pPr>
        <w:pStyle w:val="ListParagraph"/>
        <w:numPr>
          <w:ilvl w:val="0"/>
          <w:numId w:val="2"/>
        </w:numPr>
        <w:spacing w:after="80" w:line="280"/>
      </w:pPr>
      <w:r>
        <w:rPr>
          <w:rFonts w:ascii="Arial" w:cs="Arial" w:eastAsia="Arial" w:hAnsi="Arial"/>
          <w:sz w:val="22"/>
          <w:szCs w:val="22"/>
        </w:rPr>
        <w:t xml:space="preserve">Static computation graph + fixed-shape KV cache. Predictable memory behavior, important for browser/edge deployment.</w:t>
      </w:r>
    </w:p>
    <w:p>
      <w:pPr>
        <w:pStyle w:val="ListParagraph"/>
        <w:numPr>
          <w:ilvl w:val="0"/>
          <w:numId w:val="2"/>
        </w:numPr>
        <w:spacing w:after="80" w:line="280"/>
      </w:pPr>
      <w:r>
        <w:rPr>
          <w:rFonts w:ascii="Arial" w:cs="Arial" w:eastAsia="Arial" w:hAnsi="Arial"/>
          <w:sz w:val="22"/>
          <w:szCs w:val="22"/>
        </w:rPr>
        <w:t xml:space="preserve">Apache 2.0 licensed. Forkable, embeddable, redistributable.</w:t>
      </w:r>
    </w:p>
    <w:p>
      <w:pPr>
        <w:pStyle w:val="ListParagraph"/>
        <w:numPr>
          <w:ilvl w:val="0"/>
          <w:numId w:val="2"/>
        </w:numPr>
        <w:spacing w:after="80" w:line="280"/>
      </w:pPr>
      <w:r>
        <w:rPr>
          <w:rFonts w:ascii="Arial" w:cs="Arial" w:eastAsia="Arial" w:hAnsi="Arial"/>
          <w:sz w:val="22"/>
          <w:szCs w:val="22"/>
        </w:rPr>
        <w:t xml:space="preserve">Long-context Prefill where it actually beats GPUs. The substrate's typical T4 invocation is "large prompt + small response" (RAG, code context, document understanding) — exactly the regime eLLM optimizes.</w:t>
      </w:r>
    </w:p>
    <w:p>
      <w:pPr>
        <w:pStyle w:val="Heading2"/>
        <w:spacing w:after="140" w:before="280"/>
      </w:pPr>
      <w:r>
        <w:rPr>
          <w:rFonts w:ascii="Arial" w:cs="Arial" w:eastAsia="Arial" w:hAnsi="Arial"/>
          <w:b/>
          <w:bCs/>
          <w:sz w:val="26"/>
          <w:szCs w:val="26"/>
        </w:rPr>
        <w:t xml:space="preserve">6.2 Browser deployment</w:t>
      </w:r>
    </w:p>
    <w:p>
      <w:pPr>
        <w:spacing w:after="140" w:line="300"/>
      </w:pPr>
      <w:r>
        <w:rPr>
          <w:rFonts w:ascii="Arial" w:cs="Arial" w:eastAsia="Arial" w:hAnsi="Arial"/>
          <w:sz w:val="22"/>
          <w:szCs w:val="22"/>
        </w:rPr>
        <w:t xml:space="preserve">T4 runs in the browser through a tiered backend:</w:t>
      </w:r>
    </w:p>
    <w:p>
      <w:pPr>
        <w:pStyle w:val="ListParagraph"/>
        <w:numPr>
          <w:ilvl w:val="0"/>
          <w:numId w:val="2"/>
        </w:numPr>
        <w:spacing w:after="80" w:line="280"/>
      </w:pPr>
      <w:r>
        <w:rPr>
          <w:rFonts w:ascii="Arial" w:cs="Arial" w:eastAsia="Arial" w:hAnsi="Arial"/>
          <w:sz w:val="22"/>
          <w:szCs w:val="22"/>
        </w:rPr>
        <w:t xml:space="preserve">Floor: WASM SIMD. Universal, slow, always available.</w:t>
      </w:r>
    </w:p>
    <w:p>
      <w:pPr>
        <w:pStyle w:val="ListParagraph"/>
        <w:numPr>
          <w:ilvl w:val="0"/>
          <w:numId w:val="2"/>
        </w:numPr>
        <w:spacing w:after="80" w:line="280"/>
      </w:pPr>
      <w:r>
        <w:rPr>
          <w:rFonts w:ascii="Arial" w:cs="Arial" w:eastAsia="Arial" w:hAnsi="Arial"/>
          <w:sz w:val="22"/>
          <w:szCs w:val="22"/>
        </w:rPr>
        <w:t xml:space="preserve">Preferred: WebGPU. Broadly shipped in modern browsers.</w:t>
      </w:r>
    </w:p>
    <w:p>
      <w:pPr>
        <w:pStyle w:val="ListParagraph"/>
        <w:numPr>
          <w:ilvl w:val="0"/>
          <w:numId w:val="2"/>
        </w:numPr>
        <w:spacing w:after="80" w:line="280"/>
      </w:pPr>
      <w:r>
        <w:rPr>
          <w:rFonts w:ascii="Arial" w:cs="Arial" w:eastAsia="Arial" w:hAnsi="Arial"/>
          <w:sz w:val="22"/>
          <w:szCs w:val="22"/>
        </w:rPr>
        <w:t xml:space="preserve">Optimal where supported: WebNN. Hardware-accelerated, still maturing.</w:t>
      </w:r>
    </w:p>
    <w:p>
      <w:pPr>
        <w:spacing w:after="140" w:line="300"/>
      </w:pPr>
      <w:r>
        <w:rPr>
          <w:rFonts w:ascii="Arial" w:cs="Arial" w:eastAsia="Arial" w:hAnsi="Arial"/>
          <w:sz w:val="22"/>
          <w:szCs w:val="22"/>
        </w:rPr>
        <w:t xml:space="preserve">The eLLM static graph is friendly to this: the graph is identical across backends; only kernel dispatch changes. Backend selection is at runtime feature-detection, not at build time.</w:t>
      </w:r>
    </w:p>
    <w:p>
      <w:pPr>
        <w:pStyle w:val="Heading2"/>
        <w:spacing w:after="140" w:before="280"/>
      </w:pPr>
      <w:r>
        <w:rPr>
          <w:rFonts w:ascii="Arial" w:cs="Arial" w:eastAsia="Arial" w:hAnsi="Arial"/>
          <w:b/>
          <w:bCs/>
          <w:sz w:val="26"/>
          <w:szCs w:val="26"/>
        </w:rPr>
        <w:t xml:space="preserve">6.3 Output handling</w:t>
      </w:r>
    </w:p>
    <w:p>
      <w:pPr>
        <w:spacing w:after="140" w:line="300"/>
      </w:pPr>
      <w:r>
        <w:rPr>
          <w:rFonts w:ascii="Arial" w:cs="Arial" w:eastAsia="Arial" w:hAnsi="Arial"/>
          <w:sz w:val="22"/>
          <w:szCs w:val="22"/>
        </w:rPr>
        <w:t xml:space="preserve">Every T4 output is logged with its input, model version, and confidence. The log is the training data for two downstream loops: T1 cache promotion (high-confidence outputs become lookups) and T2/T3 lift (recurring patterns become state machines). The system is designed to render T4 progressively unnecessary for tasks it has seen before.</w:t>
      </w:r>
    </w:p>
    <w:p>
      <w:pPr>
        <w:pStyle w:val="Heading1"/>
        <w:spacing w:after="180" w:before="360"/>
      </w:pPr>
      <w:r>
        <w:rPr>
          <w:rFonts w:ascii="Arial" w:cs="Arial" w:eastAsia="Arial" w:hAnsi="Arial"/>
          <w:b/>
          <w:bCs/>
          <w:sz w:val="32"/>
          <w:szCs w:val="32"/>
        </w:rPr>
        <w:t xml:space="preserve">7. Proficiency Standard</w:t>
      </w:r>
    </w:p>
    <w:p>
      <w:pPr>
        <w:spacing w:after="140" w:line="300"/>
      </w:pPr>
      <w:r>
        <w:rPr>
          <w:rFonts w:ascii="Arial" w:cs="Arial" w:eastAsia="Arial" w:hAnsi="Arial"/>
          <w:sz w:val="22"/>
          <w:szCs w:val="22"/>
        </w:rPr>
        <w:t xml:space="preserve">The substrate's purpose is to do real work at the proficiency level real work requires, at honest energy cost. The proficiency standard defines what "real work" means and what "honest cost" means. Without it, the substrate is just another inference framework.</w:t>
      </w:r>
    </w:p>
    <w:p>
      <w:pPr>
        <w:pStyle w:val="Heading2"/>
        <w:spacing w:after="140" w:before="280"/>
      </w:pPr>
      <w:r>
        <w:rPr>
          <w:rFonts w:ascii="Arial" w:cs="Arial" w:eastAsia="Arial" w:hAnsi="Arial"/>
          <w:b/>
          <w:bCs/>
          <w:sz w:val="26"/>
          <w:szCs w:val="26"/>
        </w:rPr>
        <w:t xml:space="preserve">7.1 Design principles</w:t>
      </w:r>
    </w:p>
    <w:p>
      <w:pPr>
        <w:pStyle w:val="ListParagraph"/>
        <w:numPr>
          <w:ilvl w:val="0"/>
          <w:numId w:val="2"/>
        </w:numPr>
        <w:spacing w:after="80" w:line="280"/>
      </w:pPr>
      <w:r>
        <w:rPr>
          <w:rFonts w:ascii="Arial" w:cs="Arial" w:eastAsia="Arial" w:hAnsi="Arial"/>
          <w:sz w:val="22"/>
          <w:szCs w:val="22"/>
        </w:rPr>
        <w:t xml:space="preserve">Floor, not ceiling. The standard defines minimum reliable proficiency, not maximum theoretical capability. ARC-AGI-style benchmarks are explicitly out of scope.</w:t>
      </w:r>
    </w:p>
    <w:p>
      <w:pPr>
        <w:pStyle w:val="ListParagraph"/>
        <w:numPr>
          <w:ilvl w:val="0"/>
          <w:numId w:val="2"/>
        </w:numPr>
        <w:spacing w:after="80" w:line="280"/>
      </w:pPr>
      <w:r>
        <w:rPr>
          <w:rFonts w:ascii="Arial" w:cs="Arial" w:eastAsia="Arial" w:hAnsi="Arial"/>
          <w:sz w:val="22"/>
          <w:szCs w:val="22"/>
        </w:rPr>
        <w:t xml:space="preserve">Task-bounded. Proficiency is defined per task class, not as a global score. "Can extract structured data from a clinical note" is a separate certification from "can summarize a meeting transcript."</w:t>
      </w:r>
    </w:p>
    <w:p>
      <w:pPr>
        <w:pStyle w:val="ListParagraph"/>
        <w:numPr>
          <w:ilvl w:val="0"/>
          <w:numId w:val="2"/>
        </w:numPr>
        <w:spacing w:after="80" w:line="280"/>
      </w:pPr>
      <w:r>
        <w:rPr>
          <w:rFonts w:ascii="Arial" w:cs="Arial" w:eastAsia="Arial" w:hAnsi="Arial"/>
          <w:sz w:val="22"/>
          <w:szCs w:val="22"/>
        </w:rPr>
        <w:t xml:space="preserve">Energy-paired. Every proficiency tier carries an energy envelope. Passing the proficiency floor at lower energy is better; passing it at higher energy is worse. There is no tier where unlimited energy buys credit.</w:t>
      </w:r>
    </w:p>
    <w:p>
      <w:pPr>
        <w:pStyle w:val="ListParagraph"/>
        <w:numPr>
          <w:ilvl w:val="0"/>
          <w:numId w:val="2"/>
        </w:numPr>
        <w:spacing w:after="80" w:line="280"/>
      </w:pPr>
      <w:r>
        <w:rPr>
          <w:rFonts w:ascii="Arial" w:cs="Arial" w:eastAsia="Arial" w:hAnsi="Arial"/>
          <w:sz w:val="22"/>
          <w:szCs w:val="22"/>
        </w:rPr>
        <w:t xml:space="preserve">Reproducible. Eval corpora are open. Anyone can run the eval on any hardware and publish a signed certificate.</w:t>
      </w:r>
    </w:p>
    <w:p>
      <w:pPr>
        <w:pStyle w:val="Heading2"/>
        <w:spacing w:after="140" w:before="280"/>
      </w:pPr>
      <w:r>
        <w:rPr>
          <w:rFonts w:ascii="Arial" w:cs="Arial" w:eastAsia="Arial" w:hAnsi="Arial"/>
          <w:b/>
          <w:bCs/>
          <w:sz w:val="26"/>
          <w:szCs w:val="26"/>
        </w:rPr>
        <w:t xml:space="preserve">7.2 Tier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2380"/>
        <w:gridCol w:w="2380"/>
      </w:tblGrid>
      <w:tr>
        <w:trPr>
          <w:tblHeader/>
        </w:trPr>
        <w:tc>
          <w:tcPr>
            <w:tcW w:type="dxa" w:w="1400"/>
            <w:tcBorders>
              <w:top w:val="single" w:color="BBBBBB" w:sz="4"/>
              <w:left w:val="single" w:color="BBBBBB" w:sz="4"/>
              <w:bottom w:val="single" w:color="BBBBBB" w:sz="4"/>
              <w:right w:val="single" w:color="BBBBBB" w:sz="4"/>
            </w:tcBorders>
            <w:shd w:fill="E8EEF4" w:val="clear"/>
            <w:tcMar>
              <w:top w:type="dxa" w:w="80"/>
              <w:left w:type="dxa" w:w="120"/>
              <w:bottom w:type="dxa" w:w="80"/>
              <w:right w:type="dxa" w:w="120"/>
            </w:tcMar>
          </w:tcPr>
          <w:p>
            <w:r>
              <w:rPr>
                <w:rFonts w:ascii="Arial" w:cs="Arial" w:eastAsia="Arial" w:hAnsi="Arial"/>
                <w:b/>
                <w:bCs/>
                <w:sz w:val="20"/>
                <w:szCs w:val="20"/>
              </w:rPr>
              <w:t xml:space="preserve">Proficiency Tier</w:t>
            </w:r>
          </w:p>
        </w:tc>
        <w:tc>
          <w:tcPr>
            <w:tcW w:type="dxa" w:w="3200"/>
            <w:tcBorders>
              <w:top w:val="single" w:color="BBBBBB" w:sz="4"/>
              <w:left w:val="single" w:color="BBBBBB" w:sz="4"/>
              <w:bottom w:val="single" w:color="BBBBBB" w:sz="4"/>
              <w:right w:val="single" w:color="BBBBBB" w:sz="4"/>
            </w:tcBorders>
            <w:shd w:fill="E8EEF4" w:val="clear"/>
            <w:tcMar>
              <w:top w:type="dxa" w:w="80"/>
              <w:left w:type="dxa" w:w="120"/>
              <w:bottom w:type="dxa" w:w="80"/>
              <w:right w:type="dxa" w:w="120"/>
            </w:tcMar>
          </w:tcPr>
          <w:p>
            <w:r>
              <w:rPr>
                <w:rFonts w:ascii="Arial" w:cs="Arial" w:eastAsia="Arial" w:hAnsi="Arial"/>
                <w:b/>
                <w:bCs/>
                <w:sz w:val="20"/>
                <w:szCs w:val="20"/>
              </w:rPr>
              <w:t xml:space="preserve">Task Classes Covered</w:t>
            </w:r>
          </w:p>
        </w:tc>
        <w:tc>
          <w:tcPr>
            <w:tcW w:type="dxa" w:w="2380"/>
            <w:tcBorders>
              <w:top w:val="single" w:color="BBBBBB" w:sz="4"/>
              <w:left w:val="single" w:color="BBBBBB" w:sz="4"/>
              <w:bottom w:val="single" w:color="BBBBBB" w:sz="4"/>
              <w:right w:val="single" w:color="BBBBBB" w:sz="4"/>
            </w:tcBorders>
            <w:shd w:fill="E8EEF4" w:val="clear"/>
            <w:tcMar>
              <w:top w:type="dxa" w:w="80"/>
              <w:left w:type="dxa" w:w="120"/>
              <w:bottom w:type="dxa" w:w="80"/>
              <w:right w:type="dxa" w:w="120"/>
            </w:tcMar>
          </w:tcPr>
          <w:p>
            <w:r>
              <w:rPr>
                <w:rFonts w:ascii="Arial" w:cs="Arial" w:eastAsia="Arial" w:hAnsi="Arial"/>
                <w:b/>
                <w:bCs/>
                <w:sz w:val="20"/>
                <w:szCs w:val="20"/>
              </w:rPr>
              <w:t xml:space="preserve">Reliability Floor</w:t>
            </w:r>
          </w:p>
        </w:tc>
        <w:tc>
          <w:tcPr>
            <w:tcW w:type="dxa" w:w="2380"/>
            <w:tcBorders>
              <w:top w:val="single" w:color="BBBBBB" w:sz="4"/>
              <w:left w:val="single" w:color="BBBBBB" w:sz="4"/>
              <w:bottom w:val="single" w:color="BBBBBB" w:sz="4"/>
              <w:right w:val="single" w:color="BBBBBB" w:sz="4"/>
            </w:tcBorders>
            <w:shd w:fill="E8EEF4" w:val="clear"/>
            <w:tcMar>
              <w:top w:type="dxa" w:w="80"/>
              <w:left w:type="dxa" w:w="120"/>
              <w:bottom w:type="dxa" w:w="80"/>
              <w:right w:type="dxa" w:w="120"/>
            </w:tcMar>
          </w:tcPr>
          <w:p>
            <w:r>
              <w:rPr>
                <w:rFonts w:ascii="Arial" w:cs="Arial" w:eastAsia="Arial" w:hAnsi="Arial"/>
                <w:b/>
                <w:bCs/>
                <w:sz w:val="20"/>
                <w:szCs w:val="20"/>
              </w:rPr>
              <w:t xml:space="preserve">Energy Envelope (ref. CPU)</w:t>
            </w:r>
          </w:p>
        </w:tc>
      </w:tr>
      <w:tr>
        <w:tc>
          <w:tcPr>
            <w:tcW w:type="dxa" w:w="1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P1 — Routine</w:t>
            </w:r>
          </w:p>
        </w:tc>
        <w:tc>
          <w:tcPr>
            <w:tcW w:type="dxa" w:w="3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Extraction, classification, validation, format conversion, lookup, simple arithmetic</w:t>
            </w:r>
          </w:p>
        </w:tc>
        <w:tc>
          <w:tcPr>
            <w:tcW w:type="dxa" w:w="238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 99% on eval corpus</w:t>
            </w:r>
          </w:p>
        </w:tc>
        <w:tc>
          <w:tcPr>
            <w:tcW w:type="dxa" w:w="238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 0.1 J/task</w:t>
            </w:r>
          </w:p>
        </w:tc>
      </w:tr>
      <w:tr>
        <w:tc>
          <w:tcPr>
            <w:tcW w:type="dxa" w:w="1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P2 — Working</w:t>
            </w:r>
          </w:p>
        </w:tc>
        <w:tc>
          <w:tcPr>
            <w:tcW w:type="dxa" w:w="3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Summarization, drafting, translation, structured generation, multi-step deterministic reasoning</w:t>
            </w:r>
          </w:p>
        </w:tc>
        <w:tc>
          <w:tcPr>
            <w:tcW w:type="dxa" w:w="238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 95% on eval corpus</w:t>
            </w:r>
          </w:p>
        </w:tc>
        <w:tc>
          <w:tcPr>
            <w:tcW w:type="dxa" w:w="238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 5 J/task</w:t>
            </w:r>
          </w:p>
        </w:tc>
      </w:tr>
      <w:tr>
        <w:tc>
          <w:tcPr>
            <w:tcW w:type="dxa" w:w="1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P3 — Adaptive</w:t>
            </w:r>
          </w:p>
        </w:tc>
        <w:tc>
          <w:tcPr>
            <w:tcW w:type="dxa" w:w="3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Fuzzy understanding, novel synthesis, multi-turn reasoning over open-ended input</w:t>
            </w:r>
          </w:p>
        </w:tc>
        <w:tc>
          <w:tcPr>
            <w:tcW w:type="dxa" w:w="238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 85% on eval corpus</w:t>
            </w:r>
          </w:p>
        </w:tc>
        <w:tc>
          <w:tcPr>
            <w:tcW w:type="dxa" w:w="238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 50 J/task</w:t>
            </w:r>
          </w:p>
        </w:tc>
      </w:tr>
    </w:tbl>
    <w:p>
      <w:pPr>
        <w:spacing w:after="120"/>
      </w:pPr>
      <w:r>
        <w:rPr>
          <w:rFonts w:ascii="Arial" w:cs="Arial" w:eastAsia="Arial" w:hAnsi="Arial"/>
          <w:sz w:val="22"/>
          <w:szCs w:val="22"/>
        </w:rPr>
        <w:t xml:space="preserve"/>
      </w:r>
    </w:p>
    <w:p>
      <w:pPr>
        <w:spacing w:after="140" w:line="300"/>
      </w:pPr>
      <w:r>
        <w:rPr>
          <w:rFonts w:ascii="Arial" w:cs="Arial" w:eastAsia="Arial" w:hAnsi="Arial"/>
          <w:sz w:val="22"/>
          <w:szCs w:val="22"/>
        </w:rPr>
        <w:t xml:space="preserve">These numbers are starting estimates and must be calibrated against real corpora. The structure is the durable part: tiered floors, paired envelopes, open evaluation.</w:t>
      </w:r>
    </w:p>
    <w:p>
      <w:pPr>
        <w:pStyle w:val="Heading2"/>
        <w:spacing w:after="140" w:before="280"/>
      </w:pPr>
      <w:r>
        <w:rPr>
          <w:rFonts w:ascii="Arial" w:cs="Arial" w:eastAsia="Arial" w:hAnsi="Arial"/>
          <w:b/>
          <w:bCs/>
          <w:sz w:val="26"/>
          <w:szCs w:val="26"/>
        </w:rPr>
        <w:t xml:space="preserve">7.3 Certification</w:t>
      </w:r>
    </w:p>
    <w:p>
      <w:pPr>
        <w:spacing w:after="140" w:line="300"/>
      </w:pPr>
      <w:r>
        <w:rPr>
          <w:rFonts w:ascii="Arial" w:cs="Arial" w:eastAsia="Arial" w:hAnsi="Arial"/>
          <w:sz w:val="22"/>
          <w:szCs w:val="22"/>
        </w:rPr>
        <w:t xml:space="preserve">A node advertises capability as a tuple: (proficiency_tier, energy_class, model_artifact_hash, signed_attestation). Any party can re-run the eval and verify or refute the claim. Falsified claims are observable and slashable in protocol terms (§8.4).</w:t>
      </w:r>
    </w:p>
    <w:p>
      <w:pPr>
        <w:pStyle w:val="Heading2"/>
        <w:spacing w:after="140" w:before="280"/>
      </w:pPr>
      <w:r>
        <w:rPr>
          <w:rFonts w:ascii="Arial" w:cs="Arial" w:eastAsia="Arial" w:hAnsi="Arial"/>
          <w:b/>
          <w:bCs/>
          <w:sz w:val="26"/>
          <w:szCs w:val="26"/>
        </w:rPr>
        <w:t xml:space="preserve">7.4 Why this kills the goalpost-jerk</w:t>
      </w:r>
    </w:p>
    <w:p>
      <w:pPr>
        <w:spacing w:after="140" w:line="300"/>
      </w:pPr>
      <w:r>
        <w:rPr>
          <w:rFonts w:ascii="Arial" w:cs="Arial" w:eastAsia="Arial" w:hAnsi="Arial"/>
          <w:sz w:val="22"/>
          <w:szCs w:val="22"/>
        </w:rPr>
        <w:t xml:space="preserve">Today, the question is: how high can your model score on benchmark X. Tomorrow, the question is: can you meet the floor at or below the envelope. Once you pass, additional compute spend is visible-as-waste rather than visible-as-progress. A 7B model that meets P2 at 3 J/task is unambiguously better than a 70B model that meets P2 at 30 J/task. The market reorders around efficiency-at-proficiency rather than capability-at-any-cost.</w:t>
      </w:r>
    </w:p>
    <w:p>
      <w:pPr>
        <w:pStyle w:val="Heading1"/>
        <w:spacing w:after="180" w:before="360"/>
      </w:pPr>
      <w:r>
        <w:rPr>
          <w:rFonts w:ascii="Arial" w:cs="Arial" w:eastAsia="Arial" w:hAnsi="Arial"/>
          <w:b/>
          <w:bCs/>
          <w:sz w:val="32"/>
          <w:szCs w:val="32"/>
        </w:rPr>
        <w:t xml:space="preserve">8. Network Layer</w:t>
      </w:r>
    </w:p>
    <w:p>
      <w:pPr>
        <w:spacing w:after="140" w:line="300"/>
      </w:pPr>
      <w:r>
        <w:rPr>
          <w:rFonts w:ascii="Arial" w:cs="Arial" w:eastAsia="Arial" w:hAnsi="Arial"/>
          <w:sz w:val="22"/>
          <w:szCs w:val="22"/>
        </w:rPr>
        <w:t xml:space="preserve">The substrate is a network of independent operators each running their own node. No central operator means no off switch. The network layer specifies how nodes find each other, how requests route, how artifacts distribute, and how trust is established without authority.</w:t>
      </w:r>
    </w:p>
    <w:p>
      <w:pPr>
        <w:pStyle w:val="Heading2"/>
        <w:spacing w:after="140" w:before="280"/>
      </w:pPr>
      <w:r>
        <w:rPr>
          <w:rFonts w:ascii="Arial" w:cs="Arial" w:eastAsia="Arial" w:hAnsi="Arial"/>
          <w:b/>
          <w:bCs/>
          <w:sz w:val="26"/>
          <w:szCs w:val="26"/>
        </w:rPr>
        <w:t xml:space="preserve">8.1 Node identity</w:t>
      </w:r>
    </w:p>
    <w:p>
      <w:pPr>
        <w:spacing w:after="140" w:line="300"/>
      </w:pPr>
      <w:r>
        <w:rPr>
          <w:rFonts w:ascii="Arial" w:cs="Arial" w:eastAsia="Arial" w:hAnsi="Arial"/>
          <w:sz w:val="22"/>
          <w:szCs w:val="22"/>
        </w:rPr>
        <w:t xml:space="preserve">Each node is identified by a public key. Nodes self-publish a capability descriptor — proficiency tiers served, energy envelopes, model artifacts loaded, current load, geographic hint — signed by their key. Identity does not require authority; it requires only key generation.</w:t>
      </w:r>
    </w:p>
    <w:p>
      <w:pPr>
        <w:pStyle w:val="Heading2"/>
        <w:spacing w:after="140" w:before="280"/>
      </w:pPr>
      <w:r>
        <w:rPr>
          <w:rFonts w:ascii="Arial" w:cs="Arial" w:eastAsia="Arial" w:hAnsi="Arial"/>
          <w:b/>
          <w:bCs/>
          <w:sz w:val="26"/>
          <w:szCs w:val="26"/>
        </w:rPr>
        <w:t xml:space="preserve">8.2 Discovery</w:t>
      </w:r>
    </w:p>
    <w:p>
      <w:pPr>
        <w:spacing w:after="140" w:line="300"/>
      </w:pPr>
      <w:r>
        <w:rPr>
          <w:rFonts w:ascii="Arial" w:cs="Arial" w:eastAsia="Arial" w:hAnsi="Arial"/>
          <w:sz w:val="22"/>
          <w:szCs w:val="22"/>
        </w:rPr>
        <w:t xml:space="preserve">Discovery is gossip-based, not authority-based. Nodes maintain a peer list and exchange capability descriptors with neighbors. New nodes bootstrap from a small set of well-known peers (changeable, not authoritative). The protocol survives loss of any single bootstrap peer because the peer set is published in-band by every node that has been online.</w:t>
      </w:r>
    </w:p>
    <w:p>
      <w:pPr>
        <w:pStyle w:val="Heading2"/>
        <w:spacing w:after="140" w:before="280"/>
      </w:pPr>
      <w:r>
        <w:rPr>
          <w:rFonts w:ascii="Arial" w:cs="Arial" w:eastAsia="Arial" w:hAnsi="Arial"/>
          <w:b/>
          <w:bCs/>
          <w:sz w:val="26"/>
          <w:szCs w:val="26"/>
        </w:rPr>
        <w:t xml:space="preserve">8.3 Routing</w:t>
      </w:r>
    </w:p>
    <w:p>
      <w:pPr>
        <w:spacing w:after="140" w:line="300"/>
      </w:pPr>
      <w:r>
        <w:rPr>
          <w:rFonts w:ascii="Arial" w:cs="Arial" w:eastAsia="Arial" w:hAnsi="Arial"/>
          <w:sz w:val="22"/>
          <w:szCs w:val="22"/>
        </w:rPr>
        <w:t xml:space="preserve">Requests are routed by capability match, not by destination. A client says "I need P2 / extraction / English / ≤ 100ms" and the network returns a set of candidate nodes whose advertised capability matches. The client picks one (or several, for redundancy). Routing is therefore content-addressed in the requirement, not in the response.</w:t>
      </w:r>
    </w:p>
    <w:p>
      <w:pPr>
        <w:pStyle w:val="Heading2"/>
        <w:spacing w:after="140" w:before="280"/>
      </w:pPr>
      <w:r>
        <w:rPr>
          <w:rFonts w:ascii="Arial" w:cs="Arial" w:eastAsia="Arial" w:hAnsi="Arial"/>
          <w:b/>
          <w:bCs/>
          <w:sz w:val="26"/>
          <w:szCs w:val="26"/>
        </w:rPr>
        <w:t xml:space="preserve">8.4 Trust without authority</w:t>
      </w:r>
    </w:p>
    <w:p>
      <w:pPr>
        <w:spacing w:after="140" w:line="300"/>
      </w:pPr>
      <w:r>
        <w:rPr>
          <w:rFonts w:ascii="Arial" w:cs="Arial" w:eastAsia="Arial" w:hAnsi="Arial"/>
          <w:sz w:val="22"/>
          <w:szCs w:val="22"/>
        </w:rPr>
        <w:t xml:space="preserve">Three mechanisms substitute for central trust:</w:t>
      </w:r>
    </w:p>
    <w:p>
      <w:pPr>
        <w:pStyle w:val="ListParagraph"/>
        <w:numPr>
          <w:ilvl w:val="0"/>
          <w:numId w:val="2"/>
        </w:numPr>
        <w:spacing w:after="80" w:line="280"/>
      </w:pPr>
      <w:r>
        <w:rPr>
          <w:rFonts w:ascii="Arial" w:cs="Arial" w:eastAsia="Arial" w:hAnsi="Arial"/>
          <w:sz w:val="22"/>
          <w:szCs w:val="22"/>
        </w:rPr>
        <w:t xml:space="preserve">Reproducible artifacts. Model weights are content-addressed. A node claiming to run model M serves outputs that any other node running M can verify by spot-check.</w:t>
      </w:r>
    </w:p>
    <w:p>
      <w:pPr>
        <w:pStyle w:val="ListParagraph"/>
        <w:numPr>
          <w:ilvl w:val="0"/>
          <w:numId w:val="2"/>
        </w:numPr>
        <w:spacing w:after="80" w:line="280"/>
      </w:pPr>
      <w:r>
        <w:rPr>
          <w:rFonts w:ascii="Arial" w:cs="Arial" w:eastAsia="Arial" w:hAnsi="Arial"/>
          <w:sz w:val="22"/>
          <w:szCs w:val="22"/>
        </w:rPr>
        <w:t xml:space="preserve">Eval certificates. A node's proficiency claims are testable by any peer running the open eval. Sustained discrepancy between claimed and observed performance is detectable.</w:t>
      </w:r>
    </w:p>
    <w:p>
      <w:pPr>
        <w:pStyle w:val="ListParagraph"/>
        <w:numPr>
          <w:ilvl w:val="0"/>
          <w:numId w:val="2"/>
        </w:numPr>
        <w:spacing w:after="80" w:line="280"/>
      </w:pPr>
      <w:r>
        <w:rPr>
          <w:rFonts w:ascii="Arial" w:cs="Arial" w:eastAsia="Arial" w:hAnsi="Arial"/>
          <w:sz w:val="22"/>
          <w:szCs w:val="22"/>
        </w:rPr>
        <w:t xml:space="preserve">Reputation, not authority. Peers track agreement rate with each other. Persistent disagreement degrades reputation. No central registry; reputation is local to each peer's view.</w:t>
      </w:r>
    </w:p>
    <w:p>
      <w:pPr>
        <w:pStyle w:val="Heading2"/>
        <w:spacing w:after="140" w:before="280"/>
      </w:pPr>
      <w:r>
        <w:rPr>
          <w:rFonts w:ascii="Arial" w:cs="Arial" w:eastAsia="Arial" w:hAnsi="Arial"/>
          <w:b/>
          <w:bCs/>
          <w:sz w:val="26"/>
          <w:szCs w:val="26"/>
        </w:rPr>
        <w:t xml:space="preserve">8.5 The off-switch problem, resolved</w:t>
      </w:r>
    </w:p>
    <w:p>
      <w:pPr>
        <w:spacing w:after="140" w:line="300"/>
      </w:pPr>
      <w:r>
        <w:rPr>
          <w:rFonts w:ascii="Arial" w:cs="Arial" w:eastAsia="Arial" w:hAnsi="Arial"/>
          <w:sz w:val="22"/>
          <w:szCs w:val="22"/>
        </w:rPr>
        <w:t xml:space="preserve">The network has no off switch because:</w:t>
      </w:r>
    </w:p>
    <w:p>
      <w:pPr>
        <w:pStyle w:val="ListParagraph"/>
        <w:numPr>
          <w:ilvl w:val="0"/>
          <w:numId w:val="2"/>
        </w:numPr>
        <w:spacing w:after="80" w:line="280"/>
      </w:pPr>
      <w:r>
        <w:rPr>
          <w:rFonts w:ascii="Arial" w:cs="Arial" w:eastAsia="Arial" w:hAnsi="Arial"/>
          <w:sz w:val="22"/>
          <w:szCs w:val="22"/>
        </w:rPr>
        <w:t xml:space="preserve">Code is open and forkable (Apache 2.0 throughout).</w:t>
      </w:r>
    </w:p>
    <w:p>
      <w:pPr>
        <w:pStyle w:val="ListParagraph"/>
        <w:numPr>
          <w:ilvl w:val="0"/>
          <w:numId w:val="2"/>
        </w:numPr>
        <w:spacing w:after="80" w:line="280"/>
      </w:pPr>
      <w:r>
        <w:rPr>
          <w:rFonts w:ascii="Arial" w:cs="Arial" w:eastAsia="Arial" w:hAnsi="Arial"/>
          <w:sz w:val="22"/>
          <w:szCs w:val="22"/>
        </w:rPr>
        <w:t xml:space="preserve">Weights are content-addressed and redistributable.</w:t>
      </w:r>
    </w:p>
    <w:p>
      <w:pPr>
        <w:pStyle w:val="ListParagraph"/>
        <w:numPr>
          <w:ilvl w:val="0"/>
          <w:numId w:val="2"/>
        </w:numPr>
        <w:spacing w:after="80" w:line="280"/>
      </w:pPr>
      <w:r>
        <w:rPr>
          <w:rFonts w:ascii="Arial" w:cs="Arial" w:eastAsia="Arial" w:hAnsi="Arial"/>
          <w:sz w:val="22"/>
          <w:szCs w:val="22"/>
        </w:rPr>
        <w:t xml:space="preserve">Identity does not require permission.</w:t>
      </w:r>
    </w:p>
    <w:p>
      <w:pPr>
        <w:pStyle w:val="ListParagraph"/>
        <w:numPr>
          <w:ilvl w:val="0"/>
          <w:numId w:val="2"/>
        </w:numPr>
        <w:spacing w:after="80" w:line="280"/>
      </w:pPr>
      <w:r>
        <w:rPr>
          <w:rFonts w:ascii="Arial" w:cs="Arial" w:eastAsia="Arial" w:hAnsi="Arial"/>
          <w:sz w:val="22"/>
          <w:szCs w:val="22"/>
        </w:rPr>
        <w:t xml:space="preserve">Discovery does not require central registry.</w:t>
      </w:r>
    </w:p>
    <w:p>
      <w:pPr>
        <w:pStyle w:val="ListParagraph"/>
        <w:numPr>
          <w:ilvl w:val="0"/>
          <w:numId w:val="2"/>
        </w:numPr>
        <w:spacing w:after="80" w:line="280"/>
      </w:pPr>
      <w:r>
        <w:rPr>
          <w:rFonts w:ascii="Arial" w:cs="Arial" w:eastAsia="Arial" w:hAnsi="Arial"/>
          <w:sz w:val="22"/>
          <w:szCs w:val="22"/>
        </w:rPr>
        <w:t xml:space="preserve">Trust does not require central attestation.</w:t>
      </w:r>
    </w:p>
    <w:p>
      <w:pPr>
        <w:spacing w:after="140" w:line="300"/>
      </w:pPr>
      <w:r>
        <w:rPr>
          <w:rFonts w:ascii="Arial" w:cs="Arial" w:eastAsia="Arial" w:hAnsi="Arial"/>
          <w:sz w:val="22"/>
          <w:szCs w:val="22"/>
        </w:rPr>
        <w:t xml:space="preserve">Any operator can leave and rejoin without coordination. Any operator can fork the protocol if they disagree with its evolution. The protocol survives loss of any single operator, including its original authors. This is the internet's resilience pattern, applied to inference.</w:t>
      </w:r>
    </w:p>
    <w:p>
      <w:pPr>
        <w:pStyle w:val="Heading1"/>
        <w:spacing w:after="180" w:before="360"/>
      </w:pPr>
      <w:r>
        <w:rPr>
          <w:rFonts w:ascii="Arial" w:cs="Arial" w:eastAsia="Arial" w:hAnsi="Arial"/>
          <w:b/>
          <w:bCs/>
          <w:sz w:val="32"/>
          <w:szCs w:val="32"/>
        </w:rPr>
        <w:t xml:space="preserve">9. Open Questions</w:t>
      </w:r>
    </w:p>
    <w:p>
      <w:pPr>
        <w:spacing w:after="140" w:line="300"/>
      </w:pPr>
      <w:r>
        <w:rPr>
          <w:rFonts w:ascii="Arial" w:cs="Arial" w:eastAsia="Arial" w:hAnsi="Arial"/>
          <w:sz w:val="22"/>
          <w:szCs w:val="22"/>
        </w:rPr>
        <w:t xml:space="preserve">Honest accounting of what this draft does not yet resolve.</w:t>
      </w:r>
    </w:p>
    <w:p>
      <w:pPr>
        <w:pStyle w:val="ListParagraph"/>
        <w:numPr>
          <w:ilvl w:val="0"/>
          <w:numId w:val="2"/>
        </w:numPr>
        <w:spacing w:after="80" w:line="280"/>
      </w:pPr>
      <w:r>
        <w:rPr>
          <w:rFonts w:ascii="Arial" w:cs="Arial" w:eastAsia="Arial" w:hAnsi="Arial"/>
          <w:sz w:val="22"/>
          <w:szCs w:val="22"/>
        </w:rPr>
        <w:t xml:space="preserve">Economic sustainability. Who pays for the electricity at each operator's node. The internet solved this through ISPs charging end-users for connectivity. This substrate has no equivalent yet. Likely answers: voluntary (Wikipedia model), tit-for-tat (BitTorrent model), or thin transactional (micro-payment model). Not yet selected.</w:t>
      </w:r>
    </w:p>
    <w:p>
      <w:pPr>
        <w:pStyle w:val="ListParagraph"/>
        <w:numPr>
          <w:ilvl w:val="0"/>
          <w:numId w:val="2"/>
        </w:numPr>
        <w:spacing w:after="80" w:line="280"/>
      </w:pPr>
      <w:r>
        <w:rPr>
          <w:rFonts w:ascii="Arial" w:cs="Arial" w:eastAsia="Arial" w:hAnsi="Arial"/>
          <w:sz w:val="22"/>
          <w:szCs w:val="22"/>
        </w:rPr>
        <w:t xml:space="preserve">Adversarial robustness. Nodes that lie about capability, return wrong answers deliberately, or try to inject prompt-injection payloads through queries. §8.4 sketches a reputation mechanism; full threat model is open.</w:t>
      </w:r>
    </w:p>
    <w:p>
      <w:pPr>
        <w:pStyle w:val="ListParagraph"/>
        <w:numPr>
          <w:ilvl w:val="0"/>
          <w:numId w:val="2"/>
        </w:numPr>
        <w:spacing w:after="80" w:line="280"/>
      </w:pPr>
      <w:r>
        <w:rPr>
          <w:rFonts w:ascii="Arial" w:cs="Arial" w:eastAsia="Arial" w:hAnsi="Arial"/>
          <w:sz w:val="22"/>
          <w:szCs w:val="22"/>
        </w:rPr>
        <w:t xml:space="preserve">Eval corpus governance. Who maintains it, how it evolves, how it resists capture. The most likely failure mode of the proficiency standard.</w:t>
      </w:r>
    </w:p>
    <w:p>
      <w:pPr>
        <w:pStyle w:val="ListParagraph"/>
        <w:numPr>
          <w:ilvl w:val="0"/>
          <w:numId w:val="2"/>
        </w:numPr>
        <w:spacing w:after="80" w:line="280"/>
      </w:pPr>
      <w:r>
        <w:rPr>
          <w:rFonts w:ascii="Arial" w:cs="Arial" w:eastAsia="Arial" w:hAnsi="Arial"/>
          <w:sz w:val="22"/>
          <w:szCs w:val="22"/>
        </w:rPr>
        <w:t xml:space="preserve">Self-adaptation (goal 3 from earlier). Deferred. Build the static substrate first; layer adaptation on a working base.</w:t>
      </w:r>
    </w:p>
    <w:p>
      <w:pPr>
        <w:pStyle w:val="ListParagraph"/>
        <w:numPr>
          <w:ilvl w:val="0"/>
          <w:numId w:val="2"/>
        </w:numPr>
        <w:spacing w:after="80" w:line="280"/>
      </w:pPr>
      <w:r>
        <w:rPr>
          <w:rFonts w:ascii="Arial" w:cs="Arial" w:eastAsia="Arial" w:hAnsi="Arial"/>
          <w:sz w:val="22"/>
          <w:szCs w:val="22"/>
        </w:rPr>
        <w:t xml:space="preserve">Browser-vs-server topology. Pure-browser nodes are the most decentralized but capability-constrained. Server nodes carry more weight but reintroduce operator concentration risk. Mixed topology is the likely answer; exact balance is open.</w:t>
      </w:r>
    </w:p>
    <w:p>
      <w:pPr>
        <w:pStyle w:val="Heading1"/>
        <w:spacing w:after="180" w:before="360"/>
      </w:pPr>
      <w:r>
        <w:rPr>
          <w:rFonts w:ascii="Arial" w:cs="Arial" w:eastAsia="Arial" w:hAnsi="Arial"/>
          <w:b/>
          <w:bCs/>
          <w:sz w:val="32"/>
          <w:szCs w:val="32"/>
        </w:rPr>
        <w:t xml:space="preserve">10. What To Build First</w:t>
      </w:r>
    </w:p>
    <w:p>
      <w:pPr>
        <w:spacing w:after="140" w:line="300"/>
      </w:pPr>
      <w:r>
        <w:rPr>
          <w:rFonts w:ascii="Arial" w:cs="Arial" w:eastAsia="Arial" w:hAnsi="Arial"/>
          <w:sz w:val="22"/>
          <w:szCs w:val="22"/>
        </w:rPr>
        <w:t xml:space="preserve">Order matters. Build the boring resilient pieces before the interesting adaptive pieces.</w:t>
      </w:r>
    </w:p>
    <w:p>
      <w:pPr>
        <w:pStyle w:val="ListParagraph"/>
        <w:numPr>
          <w:ilvl w:val="0"/>
          <w:numId w:val="2"/>
        </w:numPr>
        <w:spacing w:after="80" w:line="280"/>
      </w:pPr>
      <w:r>
        <w:rPr>
          <w:rFonts w:ascii="Arial" w:cs="Arial" w:eastAsia="Arial" w:hAnsi="Arial"/>
          <w:sz w:val="22"/>
          <w:szCs w:val="22"/>
        </w:rPr>
        <w:t xml:space="preserve">Step 1: T1 + T2 reference implementation. Rust, ECS framework, state machine runtime, content-addressed cache. Single-node, no network. Demonstrates that 60–80% of typical workload resolves below T4.</w:t>
      </w:r>
    </w:p>
    <w:p>
      <w:pPr>
        <w:pStyle w:val="ListParagraph"/>
        <w:numPr>
          <w:ilvl w:val="0"/>
          <w:numId w:val="2"/>
        </w:numPr>
        <w:spacing w:after="80" w:line="280"/>
      </w:pPr>
      <w:r>
        <w:rPr>
          <w:rFonts w:ascii="Arial" w:cs="Arial" w:eastAsia="Arial" w:hAnsi="Arial"/>
          <w:sz w:val="22"/>
          <w:szCs w:val="22"/>
        </w:rPr>
        <w:t xml:space="preserve">Step 2: T4 integration. Embed eLLM as escape hatch. Demonstrate end-to-end query → tier resolution → answer with energy logging. Single-node still.</w:t>
      </w:r>
    </w:p>
    <w:p>
      <w:pPr>
        <w:pStyle w:val="ListParagraph"/>
        <w:numPr>
          <w:ilvl w:val="0"/>
          <w:numId w:val="2"/>
        </w:numPr>
        <w:spacing w:after="80" w:line="280"/>
      </w:pPr>
      <w:r>
        <w:rPr>
          <w:rFonts w:ascii="Arial" w:cs="Arial" w:eastAsia="Arial" w:hAnsi="Arial"/>
          <w:sz w:val="22"/>
          <w:szCs w:val="22"/>
        </w:rPr>
        <w:t xml:space="preserve">Step 3: Browser deployment. WASM build, WebGPU/WebNN backends, in-browser T1/T2/T3/T4. The "runs everywhere" claim becomes testable.</w:t>
      </w:r>
    </w:p>
    <w:p>
      <w:pPr>
        <w:pStyle w:val="ListParagraph"/>
        <w:numPr>
          <w:ilvl w:val="0"/>
          <w:numId w:val="2"/>
        </w:numPr>
        <w:spacing w:after="80" w:line="280"/>
      </w:pPr>
      <w:r>
        <w:rPr>
          <w:rFonts w:ascii="Arial" w:cs="Arial" w:eastAsia="Arial" w:hAnsi="Arial"/>
          <w:sz w:val="22"/>
          <w:szCs w:val="22"/>
        </w:rPr>
        <w:t xml:space="preserve">Step 4: Proficiency eval corpus and certification harness. One task class first — structured extraction is the densest target. Proves the standard.</w:t>
      </w:r>
    </w:p>
    <w:p>
      <w:pPr>
        <w:pStyle w:val="ListParagraph"/>
        <w:numPr>
          <w:ilvl w:val="0"/>
          <w:numId w:val="2"/>
        </w:numPr>
        <w:spacing w:after="80" w:line="280"/>
      </w:pPr>
      <w:r>
        <w:rPr>
          <w:rFonts w:ascii="Arial" w:cs="Arial" w:eastAsia="Arial" w:hAnsi="Arial"/>
          <w:sz w:val="22"/>
          <w:szCs w:val="22"/>
        </w:rPr>
        <w:t xml:space="preserve">Step 5: Network layer. Discovery, capability advertisement, request routing. Two nodes, then ten, then open.</w:t>
      </w:r>
    </w:p>
    <w:p>
      <w:pPr>
        <w:pStyle w:val="ListParagraph"/>
        <w:numPr>
          <w:ilvl w:val="0"/>
          <w:numId w:val="2"/>
        </w:numPr>
        <w:spacing w:after="80" w:line="280"/>
      </w:pPr>
      <w:r>
        <w:rPr>
          <w:rFonts w:ascii="Arial" w:cs="Arial" w:eastAsia="Arial" w:hAnsi="Arial"/>
          <w:sz w:val="22"/>
          <w:szCs w:val="22"/>
        </w:rPr>
        <w:t xml:space="preserve">Step 6: Public protocol publication. RFC-style document, reference implementation, fork-friendly governance.</w:t>
      </w:r>
    </w:p>
    <w:p>
      <w:pPr>
        <w:spacing w:after="140" w:line="300"/>
      </w:pPr>
      <w:r>
        <w:rPr>
          <w:rFonts w:ascii="Arial" w:cs="Arial" w:eastAsia="Arial" w:hAnsi="Arial"/>
          <w:sz w:val="22"/>
          <w:szCs w:val="22"/>
        </w:rPr>
        <w:t xml:space="preserve"> </w:t>
      </w:r>
    </w:p>
    <w:p>
      <w:pPr>
        <w:spacing w:after="140" w:line="300"/>
      </w:pPr>
      <w:r>
        <w:rPr>
          <w:rFonts w:ascii="Arial" w:cs="Arial" w:eastAsia="Arial" w:hAnsi="Arial"/>
          <w:sz w:val="22"/>
          <w:szCs w:val="22"/>
        </w:rPr>
        <w:t xml:space="preserve"> </w:t>
      </w:r>
    </w:p>
    <w:p>
      <w:pPr>
        <w:jc w:val="center"/>
      </w:pPr>
      <w:r>
        <w:rPr>
          <w:rFonts w:ascii="Arial" w:cs="Arial" w:eastAsia="Arial" w:hAnsi="Arial"/>
          <w:i/>
          <w:iCs/>
          <w:color w:val="888888"/>
          <w:sz w:val="20"/>
          <w:szCs w:val="20"/>
        </w:rPr>
        <w:t xml:space="preserve">— end of draft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sz w:val="32"/>
      <w:szCs w:val="32"/>
    </w:rPr>
  </w:style>
  <w:style w:type="paragraph" w:styleId="Heading2">
    <w:name w:val="Heading 2"/>
    <w:basedOn w:val="Normal"/>
    <w:next w:val="Normal"/>
    <w:qFormat/>
    <w:pPr>
      <w:spacing w:after="140" w:before="280"/>
      <w:outlineLvl w:val="1"/>
    </w:pPr>
    <w:rPr>
      <w:rFonts w:ascii="Arial" w:cs="Arial" w:eastAsia="Arial" w:hAnsi="Arial"/>
      <w:b/>
      <w:bCs/>
      <w:sz w:val="26"/>
      <w:szCs w:val="26"/>
    </w:rPr>
  </w:style>
  <w:style w:type="paragraph" w:styleId="Heading3">
    <w:name w:val="Heading 3"/>
    <w:basedOn w:val="Normal"/>
    <w:next w:val="Normal"/>
    <w:qFormat/>
    <w:pPr>
      <w:spacing w:after="120" w:before="22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2026-05-06T09:14:01.833Z</dcterms:created>
  <dcterms:modified xsi:type="dcterms:W3CDTF">2026-05-06T09:14:01.834Z</dcterms:modified>
</cp:coreProperties>
</file>

<file path=docProps/custom.xml><?xml version="1.0" encoding="utf-8"?>
<Properties xmlns="http://schemas.openxmlformats.org/officeDocument/2006/custom-properties" xmlns:vt="http://schemas.openxmlformats.org/officeDocument/2006/docPropsVTypes"/>
</file>