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GPT-5 Abstract Improvement Report</w:t>
      </w:r>
    </w:p>
    <w:p>
      <w:pPr>
        <w:jc w:val="center"/>
      </w:pPr>
      <w:r>
        <w:rPr>
          <w:color w:val="808080"/>
          <w:sz w:val="22"/>
        </w:rPr>
        <w:t>Generated: 2025-10-09 18:32</w:t>
      </w:r>
    </w:p>
    <w:p/>
    <w:p>
      <w:pPr>
        <w:pStyle w:val="Heading1"/>
      </w:pPr>
      <w:r>
        <w:t>Executive Summary</w:t>
      </w:r>
    </w:p>
    <w:p>
      <w:r>
        <w:rPr>
          <w:b/>
        </w:rPr>
        <w:t xml:space="preserve">Improvement Model: </w:t>
      </w:r>
      <w:r>
        <w:t>GPT-5 (OpenAI) - The Most Powerful LLM</w:t>
      </w:r>
    </w:p>
    <w:p>
      <w:r>
        <w:rPr>
          <w:b/>
        </w:rPr>
        <w:t xml:space="preserve">Evaluation Model: </w:t>
      </w:r>
      <w:r>
        <w:t>Claude Sonnet 4.5 (Anthropic)</w:t>
      </w:r>
    </w:p>
    <w:p/>
    <w:p>
      <w:r>
        <w:rPr>
          <w:b/>
        </w:rPr>
        <w:t xml:space="preserve">Iterations: </w:t>
      </w:r>
      <w:r>
        <w:t>1 (3 candidates each)</w:t>
      </w:r>
    </w:p>
    <w:p>
      <w:r>
        <w:rPr>
          <w:b/>
        </w:rPr>
        <w:t xml:space="preserve">Weighted Score: </w:t>
      </w:r>
      <w:r>
        <w:t xml:space="preserve">6.75 → 7.65 </w:t>
      </w:r>
      <w:r>
        <w:rPr>
          <w:b/>
          <w:color w:val="008000"/>
        </w:rPr>
        <w:t>(+0.90)</w:t>
      </w:r>
    </w:p>
    <w:p>
      <w:r>
        <w:rPr>
          <w:b/>
        </w:rPr>
        <w:t xml:space="preserve">Standard Score: </w:t>
      </w:r>
      <w:r>
        <w:t>6.90 → 7.80 (+0.90)</w:t>
      </w:r>
    </w:p>
    <w:p>
      <w:r>
        <w:rPr>
          <w:b/>
        </w:rPr>
        <w:t xml:space="preserve">Word Count: </w:t>
      </w:r>
      <w:r>
        <w:t>209 → 171 (-38)</w:t>
      </w:r>
    </w:p>
    <w:p>
      <w:r>
        <w:br w:type="page"/>
      </w:r>
    </w:p>
    <w:p>
      <w:pPr>
        <w:pStyle w:val="Heading1"/>
      </w:pPr>
      <w:r>
        <w:t>Improvement Progression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Ver</w:t>
            </w:r>
          </w:p>
        </w:tc>
        <w:tc>
          <w:tcPr>
            <w:tcW w:type="dxa" w:w="1080"/>
          </w:tcPr>
          <w:p>
            <w:r>
              <w:rPr>
                <w:b/>
              </w:rPr>
              <w:t>Model</w:t>
            </w:r>
          </w:p>
        </w:tc>
        <w:tc>
          <w:tcPr>
            <w:tcW w:type="dxa" w:w="1080"/>
          </w:tcPr>
          <w:p>
            <w:r>
              <w:rPr>
                <w:b/>
              </w:rPr>
              <w:t>Weighted</w:t>
            </w:r>
          </w:p>
        </w:tc>
        <w:tc>
          <w:tcPr>
            <w:tcW w:type="dxa" w:w="1080"/>
          </w:tcPr>
          <w:p>
            <w:r>
              <w:rPr>
                <w:b/>
              </w:rPr>
              <w:t>Standard</w:t>
            </w:r>
          </w:p>
        </w:tc>
        <w:tc>
          <w:tcPr>
            <w:tcW w:type="dxa" w:w="1080"/>
          </w:tcPr>
          <w:p>
            <w:r>
              <w:rPr>
                <w:b/>
              </w:rPr>
              <w:t>Clarity</w:t>
            </w:r>
          </w:p>
        </w:tc>
        <w:tc>
          <w:tcPr>
            <w:tcW w:type="dxa" w:w="1080"/>
          </w:tcPr>
          <w:p>
            <w:r>
              <w:rPr>
                <w:b/>
              </w:rPr>
              <w:t>Complete</w:t>
            </w:r>
          </w:p>
        </w:tc>
        <w:tc>
          <w:tcPr>
            <w:tcW w:type="dxa" w:w="1080"/>
          </w:tcPr>
          <w:p>
            <w:r>
              <w:rPr>
                <w:b/>
              </w:rPr>
              <w:t>Concise</w:t>
            </w:r>
          </w:p>
        </w:tc>
        <w:tc>
          <w:tcPr>
            <w:tcW w:type="dxa" w:w="1080"/>
          </w:tcPr>
          <w:p>
            <w:r>
              <w:rPr>
                <w:b/>
              </w:rPr>
              <w:t>Impact</w:t>
            </w:r>
          </w:p>
        </w:tc>
      </w:tr>
      <w:tr>
        <w:tc>
          <w:tcPr>
            <w:tcW w:type="dxa" w:w="1080"/>
          </w:tcPr>
          <w:p>
            <w:r>
              <w:t>V0</w:t>
            </w:r>
          </w:p>
        </w:tc>
        <w:tc>
          <w:tcPr>
            <w:tcW w:type="dxa" w:w="1080"/>
          </w:tcPr>
          <w:p>
            <w:r>
              <w:t>Original</w:t>
            </w:r>
          </w:p>
        </w:tc>
        <w:tc>
          <w:tcPr>
            <w:tcW w:type="dxa" w:w="1080"/>
          </w:tcPr>
          <w:p>
            <w:r>
              <w:t>6.75</w:t>
            </w:r>
          </w:p>
        </w:tc>
        <w:tc>
          <w:tcPr>
            <w:tcW w:type="dxa" w:w="1080"/>
          </w:tcPr>
          <w:p>
            <w:r>
              <w:t>6.90</w:t>
            </w:r>
          </w:p>
        </w:tc>
        <w:tc>
          <w:tcPr>
            <w:tcW w:type="dxa" w:w="1080"/>
          </w:tcPr>
          <w:p>
            <w:r>
              <w:t>6.50</w:t>
            </w:r>
          </w:p>
        </w:tc>
        <w:tc>
          <w:tcPr>
            <w:tcW w:type="dxa" w:w="1080"/>
          </w:tcPr>
          <w:p>
            <w:r>
              <w:t>8.50</w:t>
            </w:r>
          </w:p>
        </w:tc>
        <w:tc>
          <w:tcPr>
            <w:tcW w:type="dxa" w:w="1080"/>
          </w:tcPr>
          <w:p>
            <w:r>
              <w:t>5.00</w:t>
            </w:r>
          </w:p>
        </w:tc>
        <w:tc>
          <w:tcPr>
            <w:tcW w:type="dxa" w:w="1080"/>
          </w:tcPr>
          <w:p>
            <w:r>
              <w:t>7.50</w:t>
            </w:r>
          </w:p>
        </w:tc>
      </w:tr>
      <w:tr>
        <w:tc>
          <w:tcPr>
            <w:tcW w:type="dxa" w:w="1080"/>
          </w:tcPr>
          <w:p>
            <w:r>
              <w:rPr>
                <w:b/>
                <w:color w:val="008000"/>
              </w:rPr>
              <w:t>V1</w:t>
            </w:r>
          </w:p>
        </w:tc>
        <w:tc>
          <w:tcPr>
            <w:tcW w:type="dxa" w:w="1080"/>
          </w:tcPr>
          <w:p>
            <w:r>
              <w:rPr>
                <w:b/>
                <w:color w:val="008000"/>
              </w:rPr>
              <w:t>GPT-5</w:t>
            </w:r>
          </w:p>
        </w:tc>
        <w:tc>
          <w:tcPr>
            <w:tcW w:type="dxa" w:w="1080"/>
          </w:tcPr>
          <w:p>
            <w:r>
              <w:rPr>
                <w:b/>
                <w:color w:val="008000"/>
              </w:rPr>
              <w:t>7.65</w:t>
            </w:r>
          </w:p>
        </w:tc>
        <w:tc>
          <w:tcPr>
            <w:tcW w:type="dxa" w:w="1080"/>
          </w:tcPr>
          <w:p>
            <w:r>
              <w:rPr>
                <w:b/>
                <w:color w:val="008000"/>
              </w:rPr>
              <w:t>7.80</w:t>
            </w:r>
          </w:p>
        </w:tc>
        <w:tc>
          <w:tcPr>
            <w:tcW w:type="dxa" w:w="1080"/>
          </w:tcPr>
          <w:p>
            <w:r>
              <w:rPr>
                <w:b/>
                <w:color w:val="008000"/>
              </w:rPr>
              <w:t>7.50</w:t>
            </w:r>
          </w:p>
        </w:tc>
        <w:tc>
          <w:tcPr>
            <w:tcW w:type="dxa" w:w="1080"/>
          </w:tcPr>
          <w:p>
            <w:r>
              <w:rPr>
                <w:b/>
                <w:color w:val="008000"/>
              </w:rPr>
              <w:t>9.00</w:t>
            </w:r>
          </w:p>
        </w:tc>
        <w:tc>
          <w:tcPr>
            <w:tcW w:type="dxa" w:w="1080"/>
          </w:tcPr>
          <w:p>
            <w:r>
              <w:rPr>
                <w:b/>
                <w:color w:val="008000"/>
              </w:rPr>
              <w:t>6.00</w:t>
            </w:r>
          </w:p>
        </w:tc>
        <w:tc>
          <w:tcPr>
            <w:tcW w:type="dxa" w:w="1080"/>
          </w:tcPr>
          <w:p>
            <w:r>
              <w:rPr>
                <w:b/>
                <w:color w:val="008000"/>
              </w:rPr>
              <w:t>8.50</w:t>
            </w:r>
          </w:p>
        </w:tc>
      </w:tr>
    </w:tbl>
    <w:p>
      <w:r>
        <w:br w:type="page"/>
      </w:r>
    </w:p>
    <w:p>
      <w:pPr>
        <w:pStyle w:val="Heading1"/>
      </w:pPr>
      <w:r>
        <w:t>Original Abstract</w:t>
      </w:r>
    </w:p>
    <w:p>
      <w:r>
        <w:t>Words: 209 | Weighted: 6.75/10</w:t>
      </w:r>
    </w:p>
    <w:p>
      <w:pPr>
        <w:pStyle w:val="Quote"/>
      </w:pPr>
      <w:r>
        <w:t>Socioeconomic deprivation is linked to psychiatric vulnerability in children, yet the sources of individual variability remain unclear. Using an instrumental-variable random-forest framework (IV Forest) in a longitudinal cohort of 2,135 children, we estimate the association between neighborhood socioeconomic deprivation and delay discounting and psychotic-like experiences (PLEs) using variation in neighborhood adversity induced by state source-of-income anti-discrimination laws. Under standard IV assumptions, higher neighborhood adversity relates to steeper delay discounting and higher PLEs on average, and these associations vary systematically across children. These findings support the behavioral poverty trap framework, which is a self-reinforcing cycle where poverty-induced psychological distress relates to decisions that may perpetuate economic hardship. Moving beyond average relationships, an integrated IV Forest model that combines delay discounting, prefrontal-limbic morphometry, reward-task activation, and polygenic scores delineates marked significant heterogeneity in associations between neighborhood adversity and PLEs across children. Children most vulnerable to neighborhood adversity showed a paradoxical pattern: higher genetic predisposition for cognitive achievement (GPS for cognitive performance, IQ, and educational attainment) combined with specific limbic alterations (reduced volumes, heightened reward-related activation). These findings challenge diathesis-stress models and support differential susceptibility theory. By identifying who is most vulnerable to neighborhood disadvantage and why, our results inform precision-medicine approaches to preventing childhood psychopathology and breaking cycles of socioeconomic disadvantage.</w:t>
      </w:r>
    </w:p>
    <w:p/>
    <w:p>
      <w:pPr>
        <w:pStyle w:val="Heading1"/>
      </w:pPr>
      <w:r>
        <w:t>Best Abstract (GPT-5, Iteration 1)</w:t>
      </w:r>
    </w:p>
    <w:p>
      <w:r>
        <w:t>Strategy: Maximum-Clarity</w:t>
      </w:r>
    </w:p>
    <w:p>
      <w:r>
        <w:t>Words: 171 | Weighted: 7.65/10</w:t>
      </w:r>
    </w:p>
    <w:p>
      <w:pPr>
        <w:pStyle w:val="IntenseQuote"/>
      </w:pPr>
      <w:r>
        <w:rPr>
          <w:b/>
        </w:rPr>
        <w:t>Socioeconomic deprivation is linked to psychiatric risk in children, but who is most affected and why is unclear. In a longitudinal cohort of 2,135 children, we used an instrumental‑variable random forest that exploits state source‑of‑income anti‑discrimination laws to isolate variation in neighborhood adversity. Higher adversity predicted (i) steeper delay discounting—preference for smaller‑sooner over larger‑later rewards—and (ii) more psychotic‑like experiences (subclinical hallucination‑ or paranoia‑like symptoms). Effects varied widely across children, consistent with a behavioral poverty trap, where stress‑biased choices sustain hardship. To explain this heterogeneity, we fit an integrated model combining decision‑making, brain structure and function (prefrontal–limbic morphometry and reward‑task activation), and genetics (polygenic scores for cognitive performance, IQ, and educational attainment). The children most sensitive to neighborhood adversity showed a paradoxical profile: higher genetic propensity for cognitive achievement plus limbic alterations (smaller volumes, heightened reward reactivity) and steeper discounting. This pattern challenges diathesis–stress accounts and supports differential susceptibility. By identifying who is most vulnerable and why, our results inform targeted prevention to reduce childhood psychopathology and break cycles of socioeconomic disadvantage.</w:t>
      </w:r>
    </w:p>
    <w:p>
      <w:r>
        <w:br w:type="page"/>
      </w:r>
    </w:p>
    <w:p>
      <w:pPr>
        <w:pStyle w:val="Heading1"/>
      </w:pPr>
      <w:r>
        <w:t>Detailed Evaluation (Best Version)</w:t>
      </w:r>
    </w:p>
    <w:p>
      <w:r>
        <w:rPr>
          <w:b/>
        </w:rPr>
        <w:t xml:space="preserve">Clarity: </w:t>
      </w:r>
      <w:r>
        <w:t xml:space="preserve">7.50/10 (±0.00) </w:t>
      </w:r>
      <w:r>
        <w:t>[Weight: 20%]</w:t>
      </w:r>
    </w:p>
    <w:p>
      <w:pPr>
        <w:spacing w:after="120"/>
        <w:ind w:left="432"/>
      </w:pPr>
      <w:r>
        <w:t>The abstract communicates complex research reasonably well, with a clear progression from question to methods to findings. However, some technical terms (instrumental-variable random forest, diathesis-stress, differential susceptibility) may be opaque to non-specialists. The research question about 'who is most affected and why' is clear, and key findings are identifiable, though the dense presentation of multiple variables (delay discounting, psychotic-like experiences, brain structure, genetics) requires careful reading.</w:t>
      </w:r>
    </w:p>
    <w:p>
      <w:r>
        <w:rPr>
          <w:b/>
        </w:rPr>
        <w:t xml:space="preserve">Completeness: </w:t>
      </w:r>
      <w:r>
        <w:t xml:space="preserve">9.00/10 (±0.00) </w:t>
      </w:r>
      <w:r>
        <w:t>[Weight: 20%]</w:t>
      </w:r>
    </w:p>
    <w:p>
      <w:pPr>
        <w:spacing w:after="120"/>
        <w:ind w:left="432"/>
      </w:pPr>
      <w:r>
        <w:t>The abstract excellently covers all essential elements: (1) Background - links socioeconomic deprivation to psychiatric risk; (2) Methods - describes the cohort size, instrumental-variable approach, and integrated modeling of behavior, brain, and genetics; (3) Results - reports both main effects and heterogeneity findings, including the paradoxical profile; (4) Implications - clearly states relevance for targeted prevention. Only minor details about specific statistical approaches or effect sizes are absent, which is appropriate for an abstract.</w:t>
      </w:r>
    </w:p>
    <w:p>
      <w:r>
        <w:rPr>
          <w:b/>
        </w:rPr>
        <w:t xml:space="preserve">Conciseness: </w:t>
      </w:r>
      <w:r>
        <w:t xml:space="preserve">6.00/10 (±0.00) </w:t>
      </w:r>
      <w:r>
        <w:t>[Weight: 30%]</w:t>
      </w:r>
    </w:p>
    <w:p>
      <w:pPr>
        <w:spacing w:after="120"/>
        <w:ind w:left="432"/>
      </w:pPr>
      <w:r>
        <w:t>At approximately 170 words, the length is appropriate, but the abstract is quite dense with information. Some phrases could be streamlined: 'preference for smaller-sooner over larger-later rewards' is a lengthy definition that could be shortened; the parenthetical explanations (e.g., 'subclinical hallucination- or paranoia-like symptoms,' 'prefrontal–limbic morphometry and reward-task activation') add necessary clarity but contribute to density. The phrase 'behavioral poverty trap, where stress-biased choices sustain hardship' could be more concise.</w:t>
      </w:r>
    </w:p>
    <w:p>
      <w:r>
        <w:rPr>
          <w:b/>
        </w:rPr>
        <w:t xml:space="preserve">Impact: </w:t>
      </w:r>
      <w:r>
        <w:t xml:space="preserve">8.50/10 (±0.00) </w:t>
      </w:r>
      <w:r>
        <w:t>[Weight: 30%]</w:t>
      </w:r>
    </w:p>
    <w:p>
      <w:pPr>
        <w:spacing w:after="120"/>
        <w:ind w:left="432"/>
      </w:pPr>
      <w:r>
        <w:t>The abstract is highly compelling. It addresses an important societal problem (childhood poverty and psychiatric risk), uses sophisticated methodology (instrumental variables to establish causality), and presents a surprising finding (the paradoxical profile challenges existing theory). The phrase 'behavioral poverty trap' is evocative, and the final sentence clearly articulates real-world significance. The challenge to 'diathesis-stress accounts' in favor of 'differential susceptibility' will intrigue specialists. The combination of policy relevance and theoretical contribution creates strong impact.</w:t>
      </w:r>
    </w:p>
    <w:p/>
    <w:p>
      <w:pPr>
        <w:pStyle w:val="Heading2"/>
      </w:pPr>
      <w:r>
        <w:t>Strengths</w:t>
      </w:r>
    </w:p>
    <w:p>
      <w:pPr>
        <w:pStyle w:val="ListBullet"/>
        <w:spacing w:after="60"/>
      </w:pPr>
      <w:r>
        <w:t>Addresses a significant societal problem with clear policy implications</w:t>
      </w:r>
    </w:p>
    <w:p>
      <w:pPr>
        <w:pStyle w:val="ListBullet"/>
        <w:spacing w:after="60"/>
      </w:pPr>
      <w:r>
        <w:t>Employs rigorous causal inference methodology (instrumental variables) rather than just correlational approaches</w:t>
      </w:r>
    </w:p>
    <w:p>
      <w:pPr>
        <w:pStyle w:val="ListBullet"/>
        <w:spacing w:after="60"/>
      </w:pPr>
      <w:r>
        <w:t>Integrates multiple levels of analysis (behavior, brain, genetics) in a coherent framework</w:t>
      </w:r>
    </w:p>
    <w:p>
      <w:pPr>
        <w:pStyle w:val="ListBullet"/>
        <w:spacing w:after="60"/>
      </w:pPr>
      <w:r>
        <w:t>Presents a counterintuitive finding that challenges existing theory (paradoxical profile)</w:t>
      </w:r>
    </w:p>
    <w:p>
      <w:pPr>
        <w:pStyle w:val="ListBullet"/>
        <w:spacing w:after="60"/>
      </w:pPr>
      <w:r>
        <w:t>Clearly articulates both main effects and individual differences/heterogeneity</w:t>
      </w:r>
    </w:p>
    <w:p>
      <w:pPr>
        <w:pStyle w:val="ListBullet"/>
        <w:spacing w:after="60"/>
      </w:pPr>
      <w:r>
        <w:t>Strong concluding statement linking findings to actionable prevention strategies</w:t>
      </w:r>
    </w:p>
    <w:p>
      <w:pPr>
        <w:pStyle w:val="ListBullet"/>
        <w:spacing w:after="60"/>
      </w:pPr>
      <w:r>
        <w:t>Appropriate length and covers all essential abstract elements</w:t>
      </w:r>
    </w:p>
    <w:p/>
    <w:p>
      <w:pPr>
        <w:pStyle w:val="Heading2"/>
      </w:pPr>
      <w:r>
        <w:t>Remaining Areas for Improvement</w:t>
      </w:r>
    </w:p>
    <w:p>
      <w:pPr>
        <w:pStyle w:val="ListBullet"/>
        <w:spacing w:after="60"/>
      </w:pPr>
      <w:r>
        <w:t>Dense presentation with multiple technical concepts may challenge non-specialist readers</w:t>
      </w:r>
    </w:p>
    <w:p>
      <w:pPr>
        <w:pStyle w:val="ListBullet"/>
        <w:spacing w:after="60"/>
      </w:pPr>
      <w:r>
        <w:t>Several unexplained technical terms (instrumental-variable random forest, diathesis-stress, differential susceptibility)</w:t>
      </w:r>
    </w:p>
    <w:p>
      <w:pPr>
        <w:pStyle w:val="ListBullet"/>
        <w:spacing w:after="60"/>
      </w:pPr>
      <w:r>
        <w:t>Parenthetical definitions, while helpful, contribute to reading difficulty</w:t>
      </w:r>
    </w:p>
    <w:p>
      <w:pPr>
        <w:pStyle w:val="ListBullet"/>
        <w:spacing w:after="60"/>
      </w:pPr>
      <w:r>
        <w:t>The connection between the two main outcomes (delay discounting and psychotic-like experiences) could be clearer</w:t>
      </w:r>
    </w:p>
    <w:p>
      <w:pPr>
        <w:pStyle w:val="ListBullet"/>
        <w:spacing w:after="60"/>
      </w:pPr>
      <w:r>
        <w:t>The phrase 'behavioral poverty trap' is introduced but not fully explained</w:t>
      </w:r>
    </w:p>
    <w:p>
      <w:pPr>
        <w:pStyle w:val="ListBullet"/>
        <w:spacing w:after="60"/>
      </w:pPr>
      <w:r>
        <w:t>Multiple dependent variables and predictors mentioned may overwhelm readers trying to grasp the core finding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