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Abstract Improvement Report</w:t>
      </w:r>
    </w:p>
    <w:p>
      <w:pPr>
        <w:jc w:val="center"/>
      </w:pPr>
      <w:r>
        <w:rPr>
          <w:color w:val="808080"/>
          <w:sz w:val="22"/>
        </w:rPr>
        <w:t>Generated: 2025-10-07 20:08</w:t>
      </w:r>
    </w:p>
    <w:p/>
    <w:p>
      <w:pPr>
        <w:pStyle w:val="Heading1"/>
      </w:pPr>
      <w:r>
        <w:t>Executive Summary</w:t>
      </w:r>
    </w:p>
    <w:p>
      <w:r>
        <w:rPr>
          <w:b/>
        </w:rPr>
        <w:t xml:space="preserve">Overall Score: </w:t>
      </w:r>
      <w:r>
        <w:t xml:space="preserve">6.90 → 7.60 </w:t>
      </w:r>
      <w:r>
        <w:rPr>
          <w:b/>
        </w:rPr>
        <w:t>(+0.70)</w:t>
      </w:r>
    </w:p>
    <w:p>
      <w:r>
        <w:rPr>
          <w:b/>
        </w:rPr>
        <w:t xml:space="preserve">Word Count: </w:t>
      </w:r>
      <w:r>
        <w:t>230 → 170 (-60 words, -26.1%)</w:t>
      </w:r>
    </w:p>
    <w:p/>
    <w:p>
      <w:pPr>
        <w:pStyle w:val="Heading1"/>
      </w:pPr>
      <w:r>
        <w:t>Score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Dimension</w:t>
            </w:r>
          </w:p>
        </w:tc>
        <w:tc>
          <w:tcPr>
            <w:tcW w:type="dxa" w:w="2160"/>
          </w:tcPr>
          <w:p>
            <w:r>
              <w:rPr>
                <w:b/>
              </w:rPr>
              <w:t>Original</w:t>
            </w:r>
          </w:p>
        </w:tc>
        <w:tc>
          <w:tcPr>
            <w:tcW w:type="dxa" w:w="2160"/>
          </w:tcPr>
          <w:p>
            <w:r>
              <w:rPr>
                <w:b/>
              </w:rPr>
              <w:t>Improved</w:t>
            </w:r>
          </w:p>
        </w:tc>
        <w:tc>
          <w:tcPr>
            <w:tcW w:type="dxa" w:w="2160"/>
          </w:tcPr>
          <w:p>
            <w:r>
              <w:rPr>
                <w:b/>
              </w:rPr>
              <w:t>Change</w:t>
            </w:r>
          </w:p>
        </w:tc>
      </w:tr>
      <w:tr>
        <w:tc>
          <w:tcPr>
            <w:tcW w:type="dxa" w:w="2160"/>
          </w:tcPr>
          <w:p>
            <w:r>
              <w:t>Overall</w:t>
            </w:r>
          </w:p>
        </w:tc>
        <w:tc>
          <w:tcPr>
            <w:tcW w:type="dxa" w:w="2160"/>
          </w:tcPr>
          <w:p>
            <w:r>
              <w:t>6.90</w:t>
            </w:r>
          </w:p>
        </w:tc>
        <w:tc>
          <w:tcPr>
            <w:tcW w:type="dxa" w:w="2160"/>
          </w:tcPr>
          <w:p>
            <w:r>
              <w:t>7.60</w:t>
            </w:r>
          </w:p>
        </w:tc>
        <w:tc>
          <w:tcPr>
            <w:tcW w:type="dxa" w:w="2160"/>
          </w:tcPr>
          <w:p>
            <w:r>
              <w:t>+0.70</w:t>
            </w:r>
          </w:p>
        </w:tc>
      </w:tr>
      <w:tr>
        <w:tc>
          <w:tcPr>
            <w:tcW w:type="dxa" w:w="2160"/>
          </w:tcPr>
          <w:p>
            <w:r>
              <w:t>Clarity</w:t>
            </w:r>
          </w:p>
        </w:tc>
        <w:tc>
          <w:tcPr>
            <w:tcW w:type="dxa" w:w="2160"/>
          </w:tcPr>
          <w:p>
            <w:r>
              <w:t>6.50</w:t>
            </w:r>
          </w:p>
        </w:tc>
        <w:tc>
          <w:tcPr>
            <w:tcW w:type="dxa" w:w="2160"/>
          </w:tcPr>
          <w:p>
            <w:r>
              <w:t>7.50</w:t>
            </w:r>
          </w:p>
        </w:tc>
        <w:tc>
          <w:tcPr>
            <w:tcW w:type="dxa" w:w="2160"/>
          </w:tcPr>
          <w:p>
            <w:r>
              <w:t>+1.00</w:t>
            </w:r>
          </w:p>
        </w:tc>
      </w:tr>
      <w:tr>
        <w:tc>
          <w:tcPr>
            <w:tcW w:type="dxa" w:w="2160"/>
          </w:tcPr>
          <w:p>
            <w:r>
              <w:t>Completeness</w:t>
            </w:r>
          </w:p>
        </w:tc>
        <w:tc>
          <w:tcPr>
            <w:tcW w:type="dxa" w:w="2160"/>
          </w:tcPr>
          <w:p>
            <w:r>
              <w:t>8.50</w:t>
            </w:r>
          </w:p>
        </w:tc>
        <w:tc>
          <w:tcPr>
            <w:tcW w:type="dxa" w:w="2160"/>
          </w:tcPr>
          <w:p>
            <w:r>
              <w:t>8.50</w:t>
            </w:r>
          </w:p>
        </w:tc>
        <w:tc>
          <w:tcPr>
            <w:tcW w:type="dxa" w:w="2160"/>
          </w:tcPr>
          <w:p>
            <w:r>
              <w:t>+0.00</w:t>
            </w:r>
          </w:p>
        </w:tc>
      </w:tr>
      <w:tr>
        <w:tc>
          <w:tcPr>
            <w:tcW w:type="dxa" w:w="2160"/>
          </w:tcPr>
          <w:p>
            <w:r>
              <w:t>Conciseness</w:t>
            </w:r>
          </w:p>
        </w:tc>
        <w:tc>
          <w:tcPr>
            <w:tcW w:type="dxa" w:w="2160"/>
          </w:tcPr>
          <w:p>
            <w:r>
              <w:t>5.00</w:t>
            </w:r>
          </w:p>
        </w:tc>
        <w:tc>
          <w:tcPr>
            <w:tcW w:type="dxa" w:w="2160"/>
          </w:tcPr>
          <w:p>
            <w:r>
              <w:t>6.00</w:t>
            </w:r>
          </w:p>
        </w:tc>
        <w:tc>
          <w:tcPr>
            <w:tcW w:type="dxa" w:w="2160"/>
          </w:tcPr>
          <w:p>
            <w:r>
              <w:t>+1.00</w:t>
            </w:r>
          </w:p>
        </w:tc>
      </w:tr>
      <w:tr>
        <w:tc>
          <w:tcPr>
            <w:tcW w:type="dxa" w:w="2160"/>
          </w:tcPr>
          <w:p>
            <w:r>
              <w:t>Impact</w:t>
            </w:r>
          </w:p>
        </w:tc>
        <w:tc>
          <w:tcPr>
            <w:tcW w:type="dxa" w:w="2160"/>
          </w:tcPr>
          <w:p>
            <w:r>
              <w:t>7.50</w:t>
            </w:r>
          </w:p>
        </w:tc>
        <w:tc>
          <w:tcPr>
            <w:tcW w:type="dxa" w:w="2160"/>
          </w:tcPr>
          <w:p>
            <w:r>
              <w:t>8.50</w:t>
            </w:r>
          </w:p>
        </w:tc>
        <w:tc>
          <w:tcPr>
            <w:tcW w:type="dxa" w:w="2160"/>
          </w:tcPr>
          <w:p>
            <w:r>
              <w:t>+1.00</w:t>
            </w:r>
          </w:p>
        </w:tc>
      </w:tr>
    </w:tbl>
    <w:p>
      <w:r>
        <w:br w:type="page"/>
      </w:r>
    </w:p>
    <w:p>
      <w:pPr>
        <w:pStyle w:val="Heading1"/>
      </w:pPr>
      <w:r>
        <w:t>Original Abstract</w:t>
      </w:r>
    </w:p>
    <w:p>
      <w:r>
        <w:t>Word Count: 230 | Score: 6.90/10</w:t>
      </w:r>
    </w:p>
    <w:p>
      <w:pPr>
        <w:pStyle w:val="Quote"/>
      </w:pPr>
      <w:r>
        <w:t>Socioeconomic deprivation is linked to psychiatric vulnerability in children, yet the sources of individual variability remain unclear. Using an instrumental-variable random-forest framework (IV Forest) in a longitudinal cohort of 2,135 children, we estimate the association between neighborhood socioeconomic deprivation and delay discounting and psychotic-like experiences (PLEs) using variation in neighborhood adversity induced by state source-of-income anti-discrimination laws. Under standard IV assumptions, higher neighborhood adversity relates to steeper delay discounting and higher PLEs on average, and these associations vary systematically across children. These findings support the behavioral poverty trap framework, which is a self-reinforcing cycle where poverty-induced psychological distress relates to decisions that may perpetuate economic hardship. Moving beyond average relationships, an integrated IV Forest model that combines delay discounting, prefrontal-limbic morphometry, reward-task activation, and polygenic scores delineates marked significant heterogeneity in associations between neighborhood adversity and PLEs across children. Children most vulnerable to neighborhood adversity showed a paradoxical pattern: higher genetic predisposition for cognitive achievement (GPS for cognitive performance, IQ, and educational attainment) combined with specific limbic alterations (reduced volumes, heightened reward-related activation). These findings challenge diathesis-stress models and support differential susceptibility theory. By identifying who is most vulnerable to neighborhood disadvantage and why, our results inform precision-medicine approaches to preventing childhood psychopathology and breaking cycles of socioeconomic disadvantage.</w:t>
      </w:r>
    </w:p>
    <w:p/>
    <w:p>
      <w:pPr>
        <w:pStyle w:val="Heading1"/>
      </w:pPr>
      <w:r>
        <w:t>Improved Abstract (Version 2)</w:t>
      </w:r>
    </w:p>
    <w:p>
      <w:r>
        <w:t>Word Count: 170 | Score: 7.60/10</w:t>
      </w:r>
    </w:p>
    <w:p>
      <w:pPr>
        <w:pStyle w:val="IntenseQuote"/>
      </w:pPr>
      <w:r>
        <w:rPr>
          <w:b/>
        </w:rPr>
        <w:t>Children with genetic advantages for cognition are paradoxically *more* vulnerable to neighborhood poverty's effects on mental health—a finding that challenges conventional wisdom about who is at risk. We investigated why socioeconomic deprivation affects some children more than others by analyzing longitudinal data from 2,135 children (ages 9-10 at baseline), using state anti-discrimination policy changes as natural experiments. Higher local deprivation increased psychotic-like experiences, with threefold variation in susceptibility across children. An integrated model combining brain imaging, genetics, and decision-making revealed that the most susceptible children showed an unexpected profile: elevated cognitive polygenic scores paired with specific limbic alterations (reduced volumes, heightened reward activation). This pattern supports differential susceptibility theory, where the same neural characteristics enabling cognitive advantages under favorable conditions become liabilities under adversity. Deprivation also increased impulsive decision-making—consistent with stress-driven choices that perpetuate hardship. By identifying which children are most affected by socioeconomic disadvantage and the biological pathways involved, these findings enable targeted interventions that match support intensity to individual susceptibility, potentially disrupting intergenerational cycles of poverty and psychopathology.</w:t>
      </w:r>
    </w:p>
    <w:p>
      <w:r>
        <w:br w:type="page"/>
      </w:r>
    </w:p>
    <w:p>
      <w:pPr>
        <w:pStyle w:val="Heading1"/>
      </w:pPr>
      <w:r>
        <w:t>Detailed Evaluation of Improved Version</w:t>
      </w:r>
    </w:p>
    <w:p>
      <w:pPr>
        <w:pStyle w:val="Heading2"/>
      </w:pPr>
      <w:r>
        <w:t>Dimensional Scores</w:t>
      </w:r>
    </w:p>
    <w:p>
      <w:r>
        <w:rPr>
          <w:b/>
        </w:rPr>
        <w:t xml:space="preserve">Clarity: </w:t>
      </w:r>
      <w:r>
        <w:t>7.50/10</w:t>
      </w:r>
    </w:p>
    <w:p>
      <w:pPr>
        <w:spacing w:after="120"/>
        <w:ind w:left="432"/>
      </w:pPr>
      <w:r>
        <w:t>The abstract communicates the core research question and findings reasonably well. The paradoxical finding (genetic advantages creating vulnerability) is clearly stated upfront. However, some technical terms ('polygenic scores,' 'limbic alterations,' 'differential susceptibility theory') may not be immediately accessible to broader audiences. The methods mention ('natural experiments,' 'integrated model') is present but somewhat vague. The logical flow from question to findings to mechanism is generally clear, though the connection between impulsive decision-making and the main genetic finding feels somewhat disconnected.</w:t>
      </w:r>
    </w:p>
    <w:p>
      <w:r>
        <w:rPr>
          <w:b/>
        </w:rPr>
        <w:t xml:space="preserve">Completeness: </w:t>
      </w:r>
      <w:r>
        <w:t>8.50/10</w:t>
      </w:r>
    </w:p>
    <w:p>
      <w:pPr>
        <w:spacing w:after="120"/>
        <w:ind w:left="432"/>
      </w:pPr>
      <w:r>
        <w:t>The abstract covers all essential elements effectively: motivation (understanding differential vulnerability), sample description (2,135 children, ages 9-10, longitudinal), methods (natural experiments with policy changes, brain imaging, genetics, decision-making tasks), key results (threefold variation in susceptibility, specific neural profile), theoretical framework (differential susceptibility theory), and implications (targeted interventions). The only minor gap is that the specific outcome measure (psychotic-like experiences) appears suddenly without context about why this particular mental health indicator was chosen.</w:t>
      </w:r>
    </w:p>
    <w:p>
      <w:r>
        <w:rPr>
          <w:b/>
        </w:rPr>
        <w:t xml:space="preserve">Conciseness: </w:t>
      </w:r>
      <w:r>
        <w:t>6.00/10</w:t>
      </w:r>
    </w:p>
    <w:p>
      <w:pPr>
        <w:spacing w:after="120"/>
        <w:ind w:left="432"/>
      </w:pPr>
      <w:r>
        <w:t>At approximately 180 words, the length is appropriate, but the abstract suffers from some inefficiencies. Phrases like 'challenges conventional wisdom about who is at risk' and 'potentially disrupting intergenerational cycles of poverty and psychopathology' add rhetorical flourish without essential information. The phrase 'elevated cognitive polygenic scores paired with specific limbic alterations (reduced volumes, heightened reward activation)' is dense but could be streamlined. The impulsive decision-making finding, while interesting, feels somewhat tangential and could be condensed or removed to sharpen focus on the main genetic-neural vulnerability finding.</w:t>
      </w:r>
    </w:p>
    <w:p>
      <w:r>
        <w:rPr>
          <w:b/>
        </w:rPr>
        <w:t xml:space="preserve">Impact: </w:t>
      </w:r>
      <w:r>
        <w:t>8.50/10</w:t>
      </w:r>
    </w:p>
    <w:p>
      <w:pPr>
        <w:spacing w:after="120"/>
        <w:ind w:left="432"/>
      </w:pPr>
      <w:r>
        <w:t>The abstract is highly compelling. The opening paradox immediately grabs attention by challenging assumptions ('genetic advantages' as vulnerability factors). The 'threefold variation' provides concrete evidence of effect size. The differential susceptibility framework offers an elegant explanation that reframes disadvantage. The practical implications (targeted interventions, breaking intergenerational cycles) are clearly significant. The integration of multiple methods (genetics, neuroimaging, behavior, policy analysis) signals methodological rigor. The only limitation is that some readers might find the complexity slightly overwhelming rather than inviting.</w:t>
      </w:r>
    </w:p>
    <w:p/>
    <w:p>
      <w:pPr>
        <w:pStyle w:val="Heading2"/>
      </w:pPr>
      <w:r>
        <w:t>Strengths</w:t>
      </w:r>
    </w:p>
    <w:p>
      <w:pPr>
        <w:pStyle w:val="ListBullet"/>
        <w:spacing w:after="60"/>
      </w:pPr>
      <w:r>
        <w:t>Opens with a compelling paradox that immediately captures attention and challenges assumptions</w:t>
      </w:r>
    </w:p>
    <w:p>
      <w:pPr>
        <w:pStyle w:val="ListBullet"/>
        <w:spacing w:after="60"/>
      </w:pPr>
      <w:r>
        <w:t>Clearly articulates the theoretical framework (differential susceptibility theory) that explains the findings</w:t>
      </w:r>
    </w:p>
    <w:p>
      <w:pPr>
        <w:pStyle w:val="ListBullet"/>
        <w:spacing w:after="60"/>
      </w:pPr>
      <w:r>
        <w:t>Provides concrete details about sample size, age, and study design that establish credibility</w:t>
      </w:r>
    </w:p>
    <w:p>
      <w:pPr>
        <w:pStyle w:val="ListBullet"/>
        <w:spacing w:after="60"/>
      </w:pPr>
      <w:r>
        <w:t>Integrates multiple methodological approaches (genetics, neuroimaging, behavioral tasks, policy analysis) demonstrating rigor</w:t>
      </w:r>
    </w:p>
    <w:p>
      <w:pPr>
        <w:pStyle w:val="ListBullet"/>
        <w:spacing w:after="60"/>
      </w:pPr>
      <w:r>
        <w:t>Quantifies key findings (threefold variation) making the effect size tangible</w:t>
      </w:r>
    </w:p>
    <w:p>
      <w:pPr>
        <w:pStyle w:val="ListBullet"/>
        <w:spacing w:after="60"/>
      </w:pPr>
      <w:r>
        <w:t>Clearly states practical implications for intervention design</w:t>
      </w:r>
    </w:p>
    <w:p>
      <w:pPr>
        <w:pStyle w:val="ListBullet"/>
        <w:spacing w:after="60"/>
      </w:pPr>
      <w:r>
        <w:t>Logical flow from question to findings to mechanism to application</w:t>
      </w:r>
    </w:p>
    <w:p/>
    <w:p>
      <w:pPr>
        <w:pStyle w:val="Heading2"/>
      </w:pPr>
      <w:r>
        <w:t>Areas for Improvement</w:t>
      </w:r>
    </w:p>
    <w:p>
      <w:pPr>
        <w:pStyle w:val="ListBullet"/>
        <w:spacing w:after="60"/>
      </w:pPr>
      <w:r>
        <w:t>Some technical terminology may limit accessibility to broader audiences without sacrificing precision</w:t>
      </w:r>
    </w:p>
    <w:p>
      <w:pPr>
        <w:pStyle w:val="ListBullet"/>
        <w:spacing w:after="60"/>
      </w:pPr>
      <w:r>
        <w:t>The connection between impulsive decision-making and the main genetic-neural findings feels somewhat disconnected</w:t>
      </w:r>
    </w:p>
    <w:p>
      <w:pPr>
        <w:pStyle w:val="ListBullet"/>
        <w:spacing w:after="60"/>
      </w:pPr>
      <w:r>
        <w:t>Psychotic-like experiences as the outcome appears without context about why this specific mental health indicator matters</w:t>
      </w:r>
    </w:p>
    <w:p>
      <w:pPr>
        <w:pStyle w:val="ListBullet"/>
        <w:spacing w:after="60"/>
      </w:pPr>
      <w:r>
        <w:t>The phrase 'natural experiments' with policy changes is mentioned but not explained sufficiently</w:t>
      </w:r>
    </w:p>
    <w:p>
      <w:pPr>
        <w:pStyle w:val="ListBullet"/>
        <w:spacing w:after="60"/>
      </w:pPr>
      <w:r>
        <w:t>Some rhetorical phrases add length without essential information</w:t>
      </w:r>
    </w:p>
    <w:p>
      <w:pPr>
        <w:pStyle w:val="ListBullet"/>
        <w:spacing w:after="60"/>
      </w:pPr>
      <w:r>
        <w:t>The density of information in the neural profile description may be overwhelming on first read</w:t>
      </w:r>
    </w:p>
    <w:p/>
    <w:p>
      <w:pPr>
        <w:pStyle w:val="Heading2"/>
      </w:pPr>
      <w:r>
        <w:t>Further Improvement Suggestions</w:t>
      </w:r>
    </w:p>
    <w:p>
      <w:pPr>
        <w:pStyle w:val="ListNumber"/>
        <w:spacing w:after="60"/>
      </w:pPr>
      <w:r>
        <w:t>Consider briefly contextualizing why psychotic-like experiences are an important mental health outcome (e.g., 'increased psychotic-like experiences—early indicators of serious mental health risk')</w:t>
      </w:r>
    </w:p>
    <w:p>
      <w:pPr>
        <w:pStyle w:val="ListNumber"/>
        <w:spacing w:after="60"/>
      </w:pPr>
      <w:r>
        <w:t>Clarify what 'state anti-discrimination policy changes' means or how they function as natural experiments, or consider removing if not central</w:t>
      </w:r>
    </w:p>
    <w:p>
      <w:pPr>
        <w:pStyle w:val="ListNumber"/>
        <w:spacing w:after="60"/>
      </w:pPr>
      <w:r>
        <w:t>Streamline or remove the impulsive decision-making finding if it's secondary, or better integrate it with the main genetic-neural vulnerability story</w:t>
      </w:r>
    </w:p>
    <w:p>
      <w:pPr>
        <w:pStyle w:val="ListNumber"/>
        <w:spacing w:after="60"/>
      </w:pPr>
      <w:r>
        <w:t>Consider simplifying 'elevated cognitive polygenic scores' to 'genetic predisposition for higher cognition' for broader accessibility</w:t>
      </w:r>
    </w:p>
    <w:p>
      <w:pPr>
        <w:pStyle w:val="ListNumber"/>
        <w:spacing w:after="60"/>
      </w:pPr>
      <w:r>
        <w:t>Remove or condense rhetorical phrases like 'challenges conventional wisdom' to save words for more substantive content</w:t>
      </w:r>
    </w:p>
    <w:p>
      <w:pPr>
        <w:pStyle w:val="ListNumber"/>
        <w:spacing w:after="60"/>
      </w:pPr>
      <w:r>
        <w:t>Consider adding one sentence that makes the practical application more concrete (e.g., what kind of targeted intervention?)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