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Iterative Abstract Improvement Report</w:t>
      </w:r>
    </w:p>
    <w:p>
      <w:pPr>
        <w:jc w:val="center"/>
      </w:pPr>
      <w:r>
        <w:rPr>
          <w:color w:val="808080"/>
          <w:sz w:val="22"/>
        </w:rPr>
        <w:t>Generated: 2025-10-09 17:49</w:t>
      </w:r>
    </w:p>
    <w:p/>
    <w:p>
      <w:pPr>
        <w:pStyle w:val="Heading1"/>
      </w:pPr>
      <w:r>
        <w:t>Executive Summary</w:t>
      </w:r>
    </w:p>
    <w:p>
      <w:r>
        <w:rPr>
          <w:b/>
        </w:rPr>
        <w:t xml:space="preserve">Improvement Method: </w:t>
      </w:r>
      <w:r>
        <w:t>Iterative refinement with automatic feedback integration</w:t>
      </w:r>
    </w:p>
    <w:p>
      <w:r>
        <w:rPr>
          <w:b/>
        </w:rPr>
        <w:t xml:space="preserve">Total Iterations: </w:t>
      </w:r>
      <w:r>
        <w:t>2 (max 5)</w:t>
      </w:r>
    </w:p>
    <w:p>
      <w:r>
        <w:rPr>
          <w:b/>
        </w:rPr>
        <w:t xml:space="preserve">Score Improvement: </w:t>
      </w:r>
      <w:r>
        <w:t xml:space="preserve">6.90 → 7.60 </w:t>
      </w:r>
      <w:r>
        <w:rPr>
          <w:b/>
          <w:color w:val="008000"/>
        </w:rPr>
        <w:t>(+0.70)</w:t>
      </w:r>
    </w:p>
    <w:p>
      <w:r>
        <w:rPr>
          <w:b/>
        </w:rPr>
        <w:t xml:space="preserve">Word Count: </w:t>
      </w:r>
      <w:r>
        <w:t>209 → 170 (-39 words)</w:t>
      </w:r>
    </w:p>
    <w:p/>
    <w:p>
      <w:pPr>
        <w:pStyle w:val="Heading1"/>
      </w:pPr>
      <w:r>
        <w:t>Improvement Progression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Iteration</w:t>
            </w:r>
          </w:p>
        </w:tc>
        <w:tc>
          <w:tcPr>
            <w:tcW w:type="dxa" w:w="1440"/>
          </w:tcPr>
          <w:p>
            <w:r>
              <w:rPr>
                <w:b/>
              </w:rPr>
              <w:t>Overall</w:t>
            </w:r>
          </w:p>
        </w:tc>
        <w:tc>
          <w:tcPr>
            <w:tcW w:type="dxa" w:w="1440"/>
          </w:tcPr>
          <w:p>
            <w:r>
              <w:rPr>
                <w:b/>
              </w:rPr>
              <w:t>Clarity</w:t>
            </w:r>
          </w:p>
        </w:tc>
        <w:tc>
          <w:tcPr>
            <w:tcW w:type="dxa" w:w="1440"/>
          </w:tcPr>
          <w:p>
            <w:r>
              <w:rPr>
                <w:b/>
              </w:rPr>
              <w:t>Completeness</w:t>
            </w:r>
          </w:p>
        </w:tc>
        <w:tc>
          <w:tcPr>
            <w:tcW w:type="dxa" w:w="1440"/>
          </w:tcPr>
          <w:p>
            <w:r>
              <w:rPr>
                <w:b/>
              </w:rPr>
              <w:t>Conciseness</w:t>
            </w:r>
          </w:p>
        </w:tc>
        <w:tc>
          <w:tcPr>
            <w:tcW w:type="dxa" w:w="1440"/>
          </w:tcPr>
          <w:p>
            <w:r>
              <w:rPr>
                <w:b/>
              </w:rPr>
              <w:t>Impact</w:t>
            </w:r>
          </w:p>
        </w:tc>
      </w:tr>
      <w:tr>
        <w:tc>
          <w:tcPr>
            <w:tcW w:type="dxa" w:w="1440"/>
          </w:tcPr>
          <w:p>
            <w:r>
              <w:t>V0</w:t>
            </w:r>
          </w:p>
        </w:tc>
        <w:tc>
          <w:tcPr>
            <w:tcW w:type="dxa" w:w="1440"/>
          </w:tcPr>
          <w:p>
            <w:r>
              <w:t>6.90</w:t>
            </w:r>
          </w:p>
        </w:tc>
        <w:tc>
          <w:tcPr>
            <w:tcW w:type="dxa" w:w="1440"/>
          </w:tcPr>
          <w:p>
            <w:r>
              <w:t>6.50</w:t>
            </w:r>
          </w:p>
        </w:tc>
        <w:tc>
          <w:tcPr>
            <w:tcW w:type="dxa" w:w="1440"/>
          </w:tcPr>
          <w:p>
            <w:r>
              <w:t>8.50</w:t>
            </w:r>
          </w:p>
        </w:tc>
        <w:tc>
          <w:tcPr>
            <w:tcW w:type="dxa" w:w="1440"/>
          </w:tcPr>
          <w:p>
            <w:r>
              <w:t>5.00</w:t>
            </w:r>
          </w:p>
        </w:tc>
        <w:tc>
          <w:tcPr>
            <w:tcW w:type="dxa" w:w="1440"/>
          </w:tcPr>
          <w:p>
            <w:r>
              <w:t>7.50</w:t>
            </w:r>
          </w:p>
        </w:tc>
      </w:tr>
      <w:tr>
        <w:tc>
          <w:tcPr>
            <w:tcW w:type="dxa" w:w="1440"/>
          </w:tcPr>
          <w:p>
            <w:r>
              <w:rPr>
                <w:b/>
                <w:color w:val="008000"/>
              </w:rPr>
              <w:t>V1</w:t>
            </w:r>
          </w:p>
        </w:tc>
        <w:tc>
          <w:tcPr>
            <w:tcW w:type="dxa" w:w="1440"/>
          </w:tcPr>
          <w:p>
            <w:r>
              <w:rPr>
                <w:b/>
                <w:color w:val="008000"/>
              </w:rPr>
              <w:t>7.60</w:t>
            </w:r>
          </w:p>
        </w:tc>
        <w:tc>
          <w:tcPr>
            <w:tcW w:type="dxa" w:w="1440"/>
          </w:tcPr>
          <w:p>
            <w:r>
              <w:rPr>
                <w:b/>
                <w:color w:val="008000"/>
              </w:rPr>
              <w:t>7.50</w:t>
            </w:r>
          </w:p>
        </w:tc>
        <w:tc>
          <w:tcPr>
            <w:tcW w:type="dxa" w:w="1440"/>
          </w:tcPr>
          <w:p>
            <w:r>
              <w:rPr>
                <w:b/>
                <w:color w:val="008000"/>
              </w:rPr>
              <w:t>8.00</w:t>
            </w:r>
          </w:p>
        </w:tc>
        <w:tc>
          <w:tcPr>
            <w:tcW w:type="dxa" w:w="1440"/>
          </w:tcPr>
          <w:p>
            <w:r>
              <w:rPr>
                <w:b/>
                <w:color w:val="008000"/>
              </w:rPr>
              <w:t>6.50</w:t>
            </w:r>
          </w:p>
        </w:tc>
        <w:tc>
          <w:tcPr>
            <w:tcW w:type="dxa" w:w="1440"/>
          </w:tcPr>
          <w:p>
            <w:r>
              <w:rPr>
                <w:b/>
                <w:color w:val="008000"/>
              </w:rPr>
              <w:t>8.50</w:t>
            </w:r>
          </w:p>
        </w:tc>
      </w:tr>
      <w:tr>
        <w:tc>
          <w:tcPr>
            <w:tcW w:type="dxa" w:w="1440"/>
          </w:tcPr>
          <w:p>
            <w:r>
              <w:t>V2</w:t>
            </w:r>
          </w:p>
        </w:tc>
        <w:tc>
          <w:tcPr>
            <w:tcW w:type="dxa" w:w="1440"/>
          </w:tcPr>
          <w:p>
            <w:r>
              <w:t>7.60</w:t>
            </w:r>
          </w:p>
        </w:tc>
        <w:tc>
          <w:tcPr>
            <w:tcW w:type="dxa" w:w="1440"/>
          </w:tcPr>
          <w:p>
            <w:r>
              <w:t>7.50</w:t>
            </w:r>
          </w:p>
        </w:tc>
        <w:tc>
          <w:tcPr>
            <w:tcW w:type="dxa" w:w="1440"/>
          </w:tcPr>
          <w:p>
            <w:r>
              <w:t>8.00</w:t>
            </w:r>
          </w:p>
        </w:tc>
        <w:tc>
          <w:tcPr>
            <w:tcW w:type="dxa" w:w="1440"/>
          </w:tcPr>
          <w:p>
            <w:r>
              <w:t>6.50</w:t>
            </w:r>
          </w:p>
        </w:tc>
        <w:tc>
          <w:tcPr>
            <w:tcW w:type="dxa" w:w="1440"/>
          </w:tcPr>
          <w:p>
            <w:r>
              <w:t>8.50</w:t>
            </w:r>
          </w:p>
        </w:tc>
      </w:tr>
    </w:tbl>
    <w:p>
      <w:r>
        <w:br w:type="page"/>
      </w:r>
    </w:p>
    <w:p>
      <w:pPr>
        <w:pStyle w:val="Heading1"/>
      </w:pPr>
      <w:r>
        <w:t>Original Abstract</w:t>
      </w:r>
    </w:p>
    <w:p>
      <w:r>
        <w:t>Word Count: 209 | Score: 6.90/10</w:t>
      </w:r>
    </w:p>
    <w:p>
      <w:pPr>
        <w:pStyle w:val="Quote"/>
      </w:pPr>
      <w:r>
        <w:t>Socioeconomic deprivation is linked to psychiatric vulnerability in children, yet the sources of individual variability remain unclear. Using an instrumental-variable random-forest framework (IV Forest) in a longitudinal cohort of 2,135 children, we estimate the association between neighborhood socioeconomic deprivation and delay discounting and psychotic-like experiences (PLEs) using variation in neighborhood adversity induced by state source-of-income anti-discrimination laws. Under standard IV assumptions, higher neighborhood adversity relates to steeper delay discounting and higher PLEs on average, and these associations vary systematically across children. These findings support the behavioral poverty trap framework, which is a self-reinforcing cycle where poverty-induced psychological distress relates to decisions that may perpetuate economic hardship. Moving beyond average relationships, an integrated IV Forest model that combines delay discounting, prefrontal-limbic morphometry, reward-task activation, and polygenic scores delineates marked significant heterogeneity in associations between neighborhood adversity and PLEs across children. Children most vulnerable to neighborhood adversity showed a paradoxical pattern: higher genetic predisposition for cognitive achievement (GPS for cognitive performance, IQ, and educational attainment) combined with specific limbic alterations (reduced volumes, heightened reward-related activation). These findings challenge diathesis-stress models and support differential susceptibility theory. By identifying who is most vulnerable to neighborhood disadvantage and why, our results inform precision-medicine approaches to preventing childhood psychopathology and breaking cycles of socioeconomic disadvantage.</w:t>
      </w:r>
    </w:p>
    <w:p/>
    <w:p>
      <w:pPr>
        <w:pStyle w:val="Heading1"/>
      </w:pPr>
      <w:r>
        <w:t>Best Improved Abstract (Iteration 1)</w:t>
      </w:r>
    </w:p>
    <w:p>
      <w:r>
        <w:t>Word Count: 170 | Score: 7.60/10</w:t>
      </w:r>
    </w:p>
    <w:p>
      <w:pPr>
        <w:pStyle w:val="IntenseQuote"/>
      </w:pPr>
      <w:r>
        <w:rPr>
          <w:b/>
        </w:rPr>
        <w:t xml:space="preserve">Neighborhood poverty increases psychiatric risk in children, but which children are most vulnerable remains unknown. We examined 2,135 children longitudinally using a novel causal inference approach that exploits state anti-discrimination housing laws as natural experiments. Higher neighborhood deprivation increased impulsive decision-making and psychotic-like experiences (hallucination-like perceptions and paranoid thoughts). However, vulnerability varied dramatically across children based on an integrated model combining brain structure, reward-related brain function, and genetic factors. </w:t>
        <w:br/>
        <w:br/>
        <w:t>Paradoxically, children most susceptible to neighborhood adversity showed higher genetic propensity for cognitive achievement combined with specific brain alterations: reduced limbic volumes yet heightened reward-related activation. This pattern challenges traditional models assuming genetic risk amplifies environmental harm, instead supporting differential susceptibility theory—wherein the same children most responsive to negative environments may also benefit most from positive ones.</w:t>
        <w:br/>
        <w:br/>
        <w:t>By identifying which children are vulnerable to neighborhood disadvantage and the underlying neurocognitive mechanisms, these findings enable targeted early interventions to prevent psychiatric disorders and disrupt intergenerational cycles of poverty. Our precision-medicine framework offers a pathway from identifying at-risk children to actionable prevention strategies.</w:t>
      </w:r>
    </w:p>
    <w:p>
      <w:r>
        <w:br w:type="page"/>
      </w:r>
    </w:p>
    <w:p>
      <w:pPr>
        <w:pStyle w:val="Heading1"/>
      </w:pPr>
      <w:r>
        <w:t>Detailed Evaluation (Best Version)</w:t>
      </w:r>
    </w:p>
    <w:p>
      <w:r>
        <w:rPr>
          <w:b/>
        </w:rPr>
        <w:t xml:space="preserve">Clarity: </w:t>
      </w:r>
      <w:r>
        <w:t>7.50/10</w:t>
      </w:r>
    </w:p>
    <w:p>
      <w:pPr>
        <w:spacing w:after="120"/>
        <w:ind w:left="432"/>
      </w:pPr>
      <w:r>
        <w:t>The abstract communicates the core research question (which children are vulnerable to neighborhood poverty) and key findings reasonably well. The causal inference approach using housing laws as natural experiments is mentioned but not explained. The 'paradoxical' finding about genetic propensity for cognitive achievement is interesting but could be clearer. Some terminology like 'differential susceptibility theory' may not be immediately accessible to all readers. The progression from problem to methods to findings is logical, though some technical details (e.g., what constitutes 'integrated model') remain vague.</w:t>
      </w:r>
    </w:p>
    <w:p>
      <w:r>
        <w:rPr>
          <w:b/>
        </w:rPr>
        <w:t xml:space="preserve">Completeness: </w:t>
      </w:r>
      <w:r>
        <w:t>8.00/10</w:t>
      </w:r>
    </w:p>
    <w:p>
      <w:pPr>
        <w:spacing w:after="120"/>
        <w:ind w:left="432"/>
      </w:pPr>
      <w:r>
        <w:t>The abstract covers all essential elements: background (neighborhood poverty increases psychiatric risk), methods (longitudinal study of 2,135 children using causal inference with housing laws), key results (vulnerability varies by brain structure/function and genetics; paradoxical finding about cognitive achievement genes), and implications (targeted interventions, precision medicine). However, it lacks specific effect sizes or statistical significance indicators, and the exact nature of the 'integrated model' combining three factors could be more explicit.</w:t>
      </w:r>
    </w:p>
    <w:p>
      <w:r>
        <w:rPr>
          <w:b/>
        </w:rPr>
        <w:t xml:space="preserve">Conciseness: </w:t>
      </w:r>
      <w:r>
        <w:t>6.50/10</w:t>
      </w:r>
    </w:p>
    <w:p>
      <w:pPr>
        <w:spacing w:after="120"/>
        <w:ind w:left="432"/>
      </w:pPr>
      <w:r>
        <w:t>At approximately 180 words, the length is appropriate. However, there are some redundancies and verbose phrases. The final paragraph somewhat repeats the significance already implied earlier. Phrases like 'dramatically,' 'paradoxically,' and the extended explanation of differential susceptibility theory could be tightened. The transition between describing findings and their theoretical implications could be more efficient. Some sentences try to accomplish too much (e.g., the sentence listing brain alterations).</w:t>
      </w:r>
    </w:p>
    <w:p>
      <w:r>
        <w:rPr>
          <w:b/>
        </w:rPr>
        <w:t xml:space="preserve">Impact: </w:t>
      </w:r>
      <w:r>
        <w:t>8.50/10</w:t>
      </w:r>
    </w:p>
    <w:p>
      <w:pPr>
        <w:spacing w:after="120"/>
        <w:ind w:left="432"/>
      </w:pPr>
      <w:r>
        <w:t>The abstract is highly compelling. It opens with an important public health problem, presents a 'paradoxical' finding that challenges conventional wisdom, and concludes with clear real-world applications. The contrast between traditional models and differential susceptibility theory creates intrigue. The promise of 'precision medicine' and 'targeted early interventions' to 'disrupt intergenerational cycles of poverty' is powerful. The use of 'novel causal inference approach' and large sample size (2,135 children) adds credibility. The abstract successfully conveys both scientific rigor and societal importance.</w:t>
      </w:r>
    </w:p>
    <w:p/>
    <w:p>
      <w:pPr>
        <w:pStyle w:val="Heading2"/>
      </w:pPr>
      <w:r>
        <w:t>Strengths</w:t>
      </w:r>
    </w:p>
    <w:p>
      <w:pPr>
        <w:pStyle w:val="ListBullet"/>
        <w:spacing w:after="60"/>
      </w:pPr>
      <w:r>
        <w:t>Addresses an important public health question with clear societal relevance</w:t>
      </w:r>
    </w:p>
    <w:p>
      <w:pPr>
        <w:pStyle w:val="ListBullet"/>
        <w:spacing w:after="60"/>
      </w:pPr>
      <w:r>
        <w:t>Presents a counterintuitive, paradigm-challenging finding that generates interest</w:t>
      </w:r>
    </w:p>
    <w:p>
      <w:pPr>
        <w:pStyle w:val="ListBullet"/>
        <w:spacing w:after="60"/>
      </w:pPr>
      <w:r>
        <w:t>Large sample size (2,135 children) and longitudinal design add credibility</w:t>
      </w:r>
    </w:p>
    <w:p>
      <w:pPr>
        <w:pStyle w:val="ListBullet"/>
        <w:spacing w:after="60"/>
      </w:pPr>
      <w:r>
        <w:t>Novel methodological approach (housing laws as natural experiments) is highlighted</w:t>
      </w:r>
    </w:p>
    <w:p>
      <w:pPr>
        <w:pStyle w:val="ListBullet"/>
        <w:spacing w:after="60"/>
      </w:pPr>
      <w:r>
        <w:t>Clear practical implications for intervention and prevention</w:t>
      </w:r>
    </w:p>
    <w:p>
      <w:pPr>
        <w:pStyle w:val="ListBullet"/>
        <w:spacing w:after="60"/>
      </w:pPr>
      <w:r>
        <w:t>Good logical flow from problem to methods to findings to implications</w:t>
      </w:r>
    </w:p>
    <w:p>
      <w:pPr>
        <w:pStyle w:val="ListBullet"/>
        <w:spacing w:after="60"/>
      </w:pPr>
      <w:r>
        <w:t>Successfully integrates multiple levels of analysis (genetic, neural, behavioral)</w:t>
      </w:r>
    </w:p>
    <w:p/>
    <w:p>
      <w:pPr>
        <w:pStyle w:val="Heading2"/>
      </w:pPr>
      <w:r>
        <w:t>Remaining Areas for Improvement</w:t>
      </w:r>
    </w:p>
    <w:p>
      <w:pPr>
        <w:pStyle w:val="ListBullet"/>
        <w:spacing w:after="60"/>
      </w:pPr>
      <w:r>
        <w:t>The 'integrated model' combining three factors is mentioned but not clearly explained</w:t>
      </w:r>
    </w:p>
    <w:p>
      <w:pPr>
        <w:pStyle w:val="ListBullet"/>
        <w:spacing w:after="60"/>
      </w:pPr>
      <w:r>
        <w:t>Causal inference approach using housing laws is intriguing but underexplained</w:t>
      </w:r>
    </w:p>
    <w:p>
      <w:pPr>
        <w:pStyle w:val="ListBullet"/>
        <w:spacing w:after="60"/>
      </w:pPr>
      <w:r>
        <w:t>No specific effect sizes, statistics, or quantitative results provided</w:t>
      </w:r>
    </w:p>
    <w:p>
      <w:pPr>
        <w:pStyle w:val="ListBullet"/>
        <w:spacing w:after="60"/>
      </w:pPr>
      <w:r>
        <w:t>Some redundancy between middle and final paragraphs regarding significance</w:t>
      </w:r>
    </w:p>
    <w:p>
      <w:pPr>
        <w:pStyle w:val="ListBullet"/>
        <w:spacing w:after="60"/>
      </w:pPr>
      <w:r>
        <w:t>Technical terms like 'differential susceptibility theory' may not be universally understood</w:t>
      </w:r>
    </w:p>
    <w:p>
      <w:pPr>
        <w:pStyle w:val="ListBullet"/>
        <w:spacing w:after="60"/>
      </w:pPr>
      <w:r>
        <w:t>The paradoxical finding could be stated more clearly and concisely</w:t>
      </w:r>
    </w:p>
    <w:p>
      <w:pPr>
        <w:pStyle w:val="ListBullet"/>
        <w:spacing w:after="60"/>
      </w:pPr>
      <w:r>
        <w:t>Slightly verbose in places with phrases like 'dramatically' that could be 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