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Ultimate Abstract Improvement Report</w:t>
      </w:r>
    </w:p>
    <w:p>
      <w:pPr>
        <w:jc w:val="center"/>
      </w:pPr>
      <w:r>
        <w:rPr>
          <w:color w:val="808080"/>
          <w:sz w:val="22"/>
        </w:rPr>
        <w:t>Generated: 2025-10-09 18:04</w:t>
      </w:r>
    </w:p>
    <w:p/>
    <w:p>
      <w:pPr>
        <w:pStyle w:val="Heading1"/>
      </w:pPr>
      <w:r>
        <w:t>Executive Summary</w:t>
      </w:r>
    </w:p>
    <w:p>
      <w:r>
        <w:rPr>
          <w:b/>
        </w:rPr>
        <w:t xml:space="preserve">Improvement System: </w:t>
      </w:r>
      <w:r>
        <w:t>Ultimate (All Enhancements Integrated)</w:t>
      </w:r>
    </w:p>
    <w:p>
      <w:r>
        <w:rPr>
          <w:b/>
        </w:rPr>
        <w:t>Features Applied:</w:t>
        <w:br/>
      </w:r>
      <w:r>
        <w:t>• Iterative refinement with auto-feedback</w:t>
        <w:br/>
      </w:r>
      <w:r>
        <w:t>• Multi-candidate generation (3 strategies)</w:t>
        <w:br/>
      </w:r>
      <w:r>
        <w:t>• Reliable evaluation (2x averaging)</w:t>
        <w:br/>
      </w:r>
      <w:r>
        <w:t>• Weighted scoring (Abstract-optimized)</w:t>
        <w:br/>
      </w:r>
      <w:r>
        <w:t>• Temperature 0.2 for consistency</w:t>
      </w:r>
    </w:p>
    <w:p/>
    <w:p>
      <w:r>
        <w:rPr>
          <w:b/>
        </w:rPr>
        <w:t xml:space="preserve">Iterations: </w:t>
      </w:r>
      <w:r>
        <w:t>1 (3 candidates each)</w:t>
      </w:r>
    </w:p>
    <w:p>
      <w:r>
        <w:rPr>
          <w:b/>
        </w:rPr>
        <w:t xml:space="preserve">Weighted Score: </w:t>
      </w:r>
      <w:r>
        <w:t xml:space="preserve">6.75 → 7.78 </w:t>
      </w:r>
      <w:r>
        <w:rPr>
          <w:b/>
          <w:color w:val="008000"/>
        </w:rPr>
        <w:t>(+1.03)</w:t>
      </w:r>
    </w:p>
    <w:p>
      <w:r>
        <w:rPr>
          <w:b/>
        </w:rPr>
        <w:t xml:space="preserve">Standard Score: </w:t>
      </w:r>
      <w:r>
        <w:t>6.90 → 7.85 (+0.95)</w:t>
      </w:r>
    </w:p>
    <w:p>
      <w:r>
        <w:rPr>
          <w:b/>
        </w:rPr>
        <w:t xml:space="preserve">Word Count: </w:t>
      </w:r>
      <w:r>
        <w:t>209 → 154 (-55)</w:t>
      </w:r>
    </w:p>
    <w:p/>
    <w:p>
      <w:pPr>
        <w:pStyle w:val="Heading2"/>
      </w:pPr>
      <w:r>
        <w:t>Weighted Scoring System</w:t>
      </w:r>
    </w:p>
    <w:p>
      <w:r>
        <w:t>Abstract-specific weights applied for more accurate quality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Weight</w:t>
            </w:r>
          </w:p>
        </w:tc>
      </w:tr>
      <w:tr>
        <w:tc>
          <w:tcPr>
            <w:tcW w:type="dxa" w:w="4320"/>
          </w:tcPr>
          <w:p>
            <w:r>
              <w:t>Clarity</w:t>
            </w:r>
          </w:p>
        </w:tc>
        <w:tc>
          <w:tcPr>
            <w:tcW w:type="dxa" w:w="4320"/>
          </w:tcPr>
          <w:p>
            <w:r>
              <w:t>20%</w:t>
            </w:r>
          </w:p>
        </w:tc>
      </w:tr>
      <w:tr>
        <w:tc>
          <w:tcPr>
            <w:tcW w:type="dxa" w:w="4320"/>
          </w:tcPr>
          <w:p>
            <w:r>
              <w:t>Completeness</w:t>
            </w:r>
          </w:p>
        </w:tc>
        <w:tc>
          <w:tcPr>
            <w:tcW w:type="dxa" w:w="4320"/>
          </w:tcPr>
          <w:p>
            <w:r>
              <w:t>20%</w:t>
            </w:r>
          </w:p>
        </w:tc>
      </w:tr>
      <w:tr>
        <w:tc>
          <w:tcPr>
            <w:tcW w:type="dxa" w:w="4320"/>
          </w:tcPr>
          <w:p>
            <w:r>
              <w:t>Conciseness</w:t>
            </w:r>
          </w:p>
        </w:tc>
        <w:tc>
          <w:tcPr>
            <w:tcW w:type="dxa" w:w="4320"/>
          </w:tcPr>
          <w:p>
            <w:r>
              <w:t>30% (High Priority)</w:t>
            </w:r>
          </w:p>
        </w:tc>
      </w:tr>
      <w:tr>
        <w:tc>
          <w:tcPr>
            <w:tcW w:type="dxa" w:w="4320"/>
          </w:tcPr>
          <w:p>
            <w:r>
              <w:t>Impact</w:t>
            </w:r>
          </w:p>
        </w:tc>
        <w:tc>
          <w:tcPr>
            <w:tcW w:type="dxa" w:w="4320"/>
          </w:tcPr>
          <w:p>
            <w:r>
              <w:t>30% (High Priority)</w:t>
            </w:r>
          </w:p>
        </w:tc>
      </w:tr>
    </w:tbl>
    <w:p>
      <w:r>
        <w:br w:type="page"/>
      </w:r>
    </w:p>
    <w:p>
      <w:pPr>
        <w:pStyle w:val="Heading1"/>
      </w:pPr>
      <w:r>
        <w:t>Improvement Progression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Ver</w:t>
            </w:r>
          </w:p>
        </w:tc>
        <w:tc>
          <w:tcPr>
            <w:tcW w:type="dxa" w:w="1080"/>
          </w:tcPr>
          <w:p>
            <w:r>
              <w:rPr>
                <w:b/>
              </w:rPr>
              <w:t>Strategy</w:t>
            </w:r>
          </w:p>
        </w:tc>
        <w:tc>
          <w:tcPr>
            <w:tcW w:type="dxa" w:w="1080"/>
          </w:tcPr>
          <w:p>
            <w:r>
              <w:rPr>
                <w:b/>
              </w:rPr>
              <w:t>Weighted</w:t>
            </w:r>
          </w:p>
        </w:tc>
        <w:tc>
          <w:tcPr>
            <w:tcW w:type="dxa" w:w="1080"/>
          </w:tcPr>
          <w:p>
            <w:r>
              <w:rPr>
                <w:b/>
              </w:rPr>
              <w:t>Standard</w:t>
            </w:r>
          </w:p>
        </w:tc>
        <w:tc>
          <w:tcPr>
            <w:tcW w:type="dxa" w:w="1080"/>
          </w:tcPr>
          <w:p>
            <w:r>
              <w:rPr>
                <w:b/>
              </w:rPr>
              <w:t>Clarity</w:t>
            </w:r>
          </w:p>
        </w:tc>
        <w:tc>
          <w:tcPr>
            <w:tcW w:type="dxa" w:w="1080"/>
          </w:tcPr>
          <w:p>
            <w:r>
              <w:rPr>
                <w:b/>
              </w:rPr>
              <w:t>Complete</w:t>
            </w:r>
          </w:p>
        </w:tc>
        <w:tc>
          <w:tcPr>
            <w:tcW w:type="dxa" w:w="1080"/>
          </w:tcPr>
          <w:p>
            <w:r>
              <w:rPr>
                <w:b/>
              </w:rPr>
              <w:t>Concise</w:t>
            </w:r>
          </w:p>
        </w:tc>
        <w:tc>
          <w:tcPr>
            <w:tcW w:type="dxa" w:w="1080"/>
          </w:tcPr>
          <w:p>
            <w:r>
              <w:rPr>
                <w:b/>
              </w:rPr>
              <w:t>Impact</w:t>
            </w:r>
          </w:p>
        </w:tc>
      </w:tr>
      <w:tr>
        <w:tc>
          <w:tcPr>
            <w:tcW w:type="dxa" w:w="1080"/>
          </w:tcPr>
          <w:p>
            <w:r>
              <w:t>V0</w:t>
            </w:r>
          </w:p>
        </w:tc>
        <w:tc>
          <w:tcPr>
            <w:tcW w:type="dxa" w:w="1080"/>
          </w:tcPr>
          <w:p>
            <w:r>
              <w:t>Original</w:t>
            </w:r>
          </w:p>
        </w:tc>
        <w:tc>
          <w:tcPr>
            <w:tcW w:type="dxa" w:w="1080"/>
          </w:tcPr>
          <w:p>
            <w:r>
              <w:t>6.75</w:t>
            </w:r>
          </w:p>
        </w:tc>
        <w:tc>
          <w:tcPr>
            <w:tcW w:type="dxa" w:w="1080"/>
          </w:tcPr>
          <w:p>
            <w:r>
              <w:t>6.90</w:t>
            </w:r>
          </w:p>
        </w:tc>
        <w:tc>
          <w:tcPr>
            <w:tcW w:type="dxa" w:w="1080"/>
          </w:tcPr>
          <w:p>
            <w:r>
              <w:t>6.50</w:t>
            </w:r>
          </w:p>
        </w:tc>
        <w:tc>
          <w:tcPr>
            <w:tcW w:type="dxa" w:w="1080"/>
          </w:tcPr>
          <w:p>
            <w:r>
              <w:t>8.50</w:t>
            </w:r>
          </w:p>
        </w:tc>
        <w:tc>
          <w:tcPr>
            <w:tcW w:type="dxa" w:w="1080"/>
          </w:tcPr>
          <w:p>
            <w:r>
              <w:t>5.00</w:t>
            </w:r>
          </w:p>
        </w:tc>
        <w:tc>
          <w:tcPr>
            <w:tcW w:type="dxa" w:w="1080"/>
          </w:tcPr>
          <w:p>
            <w:r>
              <w:t>7.50</w:t>
            </w:r>
          </w:p>
        </w:tc>
      </w:tr>
      <w:tr>
        <w:tc>
          <w:tcPr>
            <w:tcW w:type="dxa" w:w="1080"/>
          </w:tcPr>
          <w:p>
            <w:r>
              <w:rPr>
                <w:b/>
                <w:color w:val="008000"/>
              </w:rPr>
              <w:t>V1</w:t>
            </w:r>
          </w:p>
        </w:tc>
        <w:tc>
          <w:tcPr>
            <w:tcW w:type="dxa" w:w="1080"/>
          </w:tcPr>
          <w:p>
            <w:r>
              <w:rPr>
                <w:b/>
                <w:color w:val="008000"/>
              </w:rPr>
              <w:t>Balanced-Eli</w:t>
            </w:r>
          </w:p>
        </w:tc>
        <w:tc>
          <w:tcPr>
            <w:tcW w:type="dxa" w:w="1080"/>
          </w:tcPr>
          <w:p>
            <w:r>
              <w:rPr>
                <w:b/>
                <w:color w:val="008000"/>
              </w:rPr>
              <w:t>7.78</w:t>
            </w:r>
          </w:p>
        </w:tc>
        <w:tc>
          <w:tcPr>
            <w:tcW w:type="dxa" w:w="1080"/>
          </w:tcPr>
          <w:p>
            <w:r>
              <w:rPr>
                <w:b/>
                <w:color w:val="008000"/>
              </w:rPr>
              <w:t>7.85</w:t>
            </w:r>
          </w:p>
        </w:tc>
        <w:tc>
          <w:tcPr>
            <w:tcW w:type="dxa" w:w="1080"/>
          </w:tcPr>
          <w:p>
            <w:r>
              <w:rPr>
                <w:b/>
                <w:color w:val="008000"/>
              </w:rPr>
              <w:t>7.50</w:t>
            </w:r>
          </w:p>
        </w:tc>
        <w:tc>
          <w:tcPr>
            <w:tcW w:type="dxa" w:w="1080"/>
          </w:tcPr>
          <w:p>
            <w:r>
              <w:rPr>
                <w:b/>
                <w:color w:val="008000"/>
              </w:rPr>
              <w:t>8.50</w:t>
            </w:r>
          </w:p>
        </w:tc>
        <w:tc>
          <w:tcPr>
            <w:tcW w:type="dxa" w:w="1080"/>
          </w:tcPr>
          <w:p>
            <w:r>
              <w:rPr>
                <w:b/>
                <w:color w:val="008000"/>
              </w:rPr>
              <w:t>7.00</w:t>
            </w:r>
          </w:p>
        </w:tc>
        <w:tc>
          <w:tcPr>
            <w:tcW w:type="dxa" w:w="1080"/>
          </w:tcPr>
          <w:p>
            <w:r>
              <w:rPr>
                <w:b/>
                <w:color w:val="008000"/>
              </w:rPr>
              <w:t>8.25</w:t>
            </w:r>
          </w:p>
        </w:tc>
      </w:tr>
    </w:tbl>
    <w:p>
      <w:r>
        <w:br w:type="page"/>
      </w:r>
    </w:p>
    <w:p>
      <w:pPr>
        <w:pStyle w:val="Heading1"/>
      </w:pPr>
      <w:r>
        <w:t>Original Abstract</w:t>
      </w:r>
    </w:p>
    <w:p>
      <w:r>
        <w:t>Words: 209 | Weighted: 6.75/10 | Standard: 6.90/10</w:t>
      </w:r>
    </w:p>
    <w:p>
      <w:pPr>
        <w:pStyle w:val="Quote"/>
      </w:pPr>
      <w:r>
        <w:t>Socioeconomic deprivation is linked to psychiatric vulnerability in children, yet the sources of individual variability remain unclear. Using an instrumental-variable random-forest framework (IV Forest) in a longitudinal cohort of 2,135 children, we estimate the association between neighborhood socioeconomic deprivation and delay discounting and psychotic-like experiences (PLEs) using variation in neighborhood adversity induced by state source-of-income anti-discrimination laws. Under standard IV assumptions, higher neighborhood adversity relates to steeper delay discounting and higher PLEs on average, and these associations vary systematically across children. These findings support the behavioral poverty trap framework, which is a self-reinforcing cycle where poverty-induced psychological distress relates to decisions that may perpetuate economic hardship. Moving beyond average relationships, an integrated IV Forest model that combines delay discounting, prefrontal-limbic morphometry, reward-task activation, and polygenic scores delineates marked significant heterogeneity in associations between neighborhood adversity and PLEs across children. Children most vulnerable to neighborhood adversity showed a paradoxical pattern: higher genetic predisposition for cognitive achievement (GPS for cognitive performance, IQ, and educational attainment) combined with specific limbic alterations (reduced volumes, heightened reward-related activation). These findings challenge diathesis-stress models and support differential susceptibility theory. By identifying who is most vulnerable to neighborhood disadvantage and why, our results inform precision-medicine approaches to preventing childhood psychopathology and breaking cycles of socioeconomic disadvantage.</w:t>
      </w:r>
    </w:p>
    <w:p/>
    <w:p>
      <w:pPr>
        <w:pStyle w:val="Heading1"/>
      </w:pPr>
      <w:r>
        <w:t>Best Abstract (Iteration 1)</w:t>
      </w:r>
    </w:p>
    <w:p>
      <w:r>
        <w:t>Strategy: Balanced-Elite</w:t>
      </w:r>
    </w:p>
    <w:p>
      <w:r>
        <w:t>Words: 154 | Weighted: 7.78/10 | Standard: 7.85/10</w:t>
      </w:r>
    </w:p>
    <w:p>
      <w:pPr>
        <w:pStyle w:val="IntenseQuote"/>
      </w:pPr>
      <w:r>
        <w:rPr>
          <w:b/>
        </w:rPr>
        <w:t>Socioeconomic deprivation increases psychiatric vulnerability in children, yet individual susceptibility varies markedly. We examined how neighborhood disadvantage affects 2,135 children (ages 9-10, followed 2 years) using instrumental-variable random forests—a causal inference method leveraging state housing anti-discrimination laws as natural experiments. Higher neighborhood adversity increased both impulsive decision-making and psychotic-like experiences (early psychosis symptoms), with substantial variation across individuals. These patterns support behavioral poverty traps: poverty-induced stress promotes decisions perpetuating economic hardship.</w:t>
        <w:br/>
        <w:br/>
        <w:t>Integrating brain imaging, reward-task responses, and genetic data, we identified which children were most vulnerable. Surprisingly, those at highest risk showed a paradoxical profile: elevated genetic predisposition for cognitive achievement combined with specific limbic alterations (reduced volumes, heightened reward activation). This challenges traditional diathesis-stress models, suggesting some children with high cognitive potential are differentially susceptible to environmental adversity.</w:t>
        <w:br/>
        <w:br/>
        <w:t>By revealing who is vulnerable to neighborhood disadvantage and why, these findings enable precision approaches to prevent childhood psychopathology and interrupt cycles of socioeconomic disadvantage.</w:t>
      </w:r>
    </w:p>
    <w:p>
      <w:r>
        <w:br w:type="page"/>
      </w:r>
    </w:p>
    <w:p>
      <w:pPr>
        <w:pStyle w:val="Heading1"/>
      </w:pPr>
      <w:r>
        <w:t>Detailed Evaluation (Best Version)</w:t>
      </w:r>
    </w:p>
    <w:p>
      <w:r>
        <w:rPr>
          <w:b/>
        </w:rPr>
        <w:t xml:space="preserve">Clarity: </w:t>
      </w:r>
      <w:r>
        <w:t xml:space="preserve">7.50/10 (±0.00) </w:t>
      </w:r>
      <w:r>
        <w:t>[Weight: 20%]</w:t>
      </w:r>
    </w:p>
    <w:p>
      <w:pPr>
        <w:spacing w:after="120"/>
        <w:ind w:left="432"/>
      </w:pPr>
      <w:r>
        <w:t>The abstract communicates the research question and main findings reasonably well. The study examines how neighborhood disadvantage affects children's psychiatric vulnerability. However, some technical terms ('instrumental-variable random forests,' 'diathesis-stress models,' 'differential susceptibility') may not be immediately clear to all readers. The paradoxical finding is intriguing but could be stated more explicitly. The flow from methods to results to implications is logical, though the connection between some concepts (e.g., 'behavioral poverty traps' and the main findings) could be tighter.</w:t>
      </w:r>
    </w:p>
    <w:p>
      <w:r>
        <w:rPr>
          <w:b/>
        </w:rPr>
        <w:t xml:space="preserve">Completeness: </w:t>
      </w:r>
      <w:r>
        <w:t xml:space="preserve">8.50/10 (±0.00) </w:t>
      </w:r>
      <w:r>
        <w:t>[Weight: 20%]</w:t>
      </w:r>
    </w:p>
    <w:p>
      <w:pPr>
        <w:spacing w:after="120"/>
        <w:ind w:left="432"/>
      </w:pPr>
      <w:r>
        <w:t>The abstract covers all essential elements effectively: (1) Background - establishes that socioeconomic deprivation affects children variably; (2) Methods - mentions sample size, age, follow-up period, analytical approach, and data types; (3) Results - presents both main effects and the key paradoxical finding about vulnerability profiles; (4) Implications - clearly states potential for precision prevention approaches. The only minor gap is that specific effect sizes or statistical significance indicators are absent, though this is common in abstracts.</w:t>
      </w:r>
    </w:p>
    <w:p>
      <w:r>
        <w:rPr>
          <w:b/>
        </w:rPr>
        <w:t xml:space="preserve">Conciseness: </w:t>
      </w:r>
      <w:r>
        <w:t xml:space="preserve">7.00/10 (±0.00) </w:t>
      </w:r>
      <w:r>
        <w:t>[Weight: 30%]</w:t>
      </w:r>
    </w:p>
    <w:p>
      <w:pPr>
        <w:spacing w:after="120"/>
        <w:ind w:left="432"/>
      </w:pPr>
      <w:r>
        <w:t>At approximately 165 words, the abstract fits within typical length constraints. However, there are opportunities for tightening. The phrase 'yet individual susceptibility varies markedly' in the opening could be implied. The parenthetical '(early psychosis symptoms)' is helpful but adds length. The phrase 'These patterns support behavioral poverty traps: poverty-induced stress promotes decisions perpetuating economic hardship' could be more concise. The final sentence, while impactful, is somewhat broad. Overall, the abstract is reasonably efficient but not maximally concise.</w:t>
      </w:r>
    </w:p>
    <w:p>
      <w:r>
        <w:rPr>
          <w:b/>
        </w:rPr>
        <w:t xml:space="preserve">Impact: </w:t>
      </w:r>
      <w:r>
        <w:t xml:space="preserve">8.25/10 (±0.25) </w:t>
      </w:r>
      <w:r>
        <w:t>[Weight: 30%]</w:t>
      </w:r>
    </w:p>
    <w:p>
      <w:pPr>
        <w:spacing w:after="120"/>
        <w:ind w:left="432"/>
      </w:pPr>
      <w:r>
        <w:t>The abstract is highly compelling. It opens with a significant public health issue, employs sophisticated causal inference methods, and presents a genuinely surprising finding that challenges existing theory. The 'paradoxical profile' of high cognitive potential combined with vulnerability is attention-grabbing. The practical implications for precision prevention are clear and important. The phrase 'interrupt cycles of socioeconomic disadvantage' is powerful. The abstract successfully conveys both scientific rigor and real-world relevance, making readers want to learn more about the mechanisms and implications.</w:t>
      </w:r>
    </w:p>
    <w:p/>
    <w:p>
      <w:pPr>
        <w:pStyle w:val="Heading2"/>
      </w:pPr>
      <w:r>
        <w:t>Strengths</w:t>
      </w:r>
    </w:p>
    <w:p>
      <w:pPr>
        <w:pStyle w:val="ListBullet"/>
        <w:spacing w:after="60"/>
      </w:pPr>
      <w:r>
        <w:t>Presents a genuinely surprising and theoretically important finding that challenges existing models</w:t>
      </w:r>
    </w:p>
    <w:p>
      <w:pPr>
        <w:pStyle w:val="ListBullet"/>
        <w:spacing w:after="60"/>
      </w:pPr>
      <w:r>
        <w:t>Clearly states the practical significance for prevention and intervention</w:t>
      </w:r>
    </w:p>
    <w:p>
      <w:pPr>
        <w:pStyle w:val="ListBullet"/>
        <w:spacing w:after="60"/>
      </w:pPr>
      <w:r>
        <w:t>Demonstrates methodological sophistication with causal inference approach and multi-modal data integration</w:t>
      </w:r>
    </w:p>
    <w:p>
      <w:pPr>
        <w:pStyle w:val="ListBullet"/>
        <w:spacing w:after="60"/>
      </w:pPr>
      <w:r>
        <w:t>Good logical flow from background through methods to results and implications</w:t>
      </w:r>
    </w:p>
    <w:p>
      <w:pPr>
        <w:pStyle w:val="ListBullet"/>
        <w:spacing w:after="60"/>
      </w:pPr>
      <w:r>
        <w:t>Appropriate length and covers all essential abstract elements</w:t>
      </w:r>
    </w:p>
    <w:p>
      <w:pPr>
        <w:pStyle w:val="ListBullet"/>
        <w:spacing w:after="60"/>
      </w:pPr>
      <w:r>
        <w:t>Addresses an important public health issue with clear societal relevance</w:t>
      </w:r>
    </w:p>
    <w:p>
      <w:pPr>
        <w:pStyle w:val="ListBullet"/>
        <w:spacing w:after="60"/>
      </w:pPr>
      <w:r>
        <w:t>The paradoxical finding is memorable and thought-provoking</w:t>
      </w:r>
    </w:p>
    <w:p/>
    <w:p>
      <w:pPr>
        <w:pStyle w:val="Heading2"/>
      </w:pPr>
      <w:r>
        <w:t>Remaining Areas for Improvement</w:t>
      </w:r>
    </w:p>
    <w:p>
      <w:pPr>
        <w:pStyle w:val="ListBullet"/>
        <w:spacing w:after="60"/>
      </w:pPr>
      <w:r>
        <w:t>Some technical terminology may not be immediately accessible to broader audiences (e.g., 'instrumental-variable random forests,' 'diathesis-stress models')</w:t>
      </w:r>
    </w:p>
    <w:p>
      <w:pPr>
        <w:pStyle w:val="ListBullet"/>
        <w:spacing w:after="60"/>
      </w:pPr>
      <w:r>
        <w:t>The connection between 'behavioral poverty traps' and the main findings could be more explicit</w:t>
      </w:r>
    </w:p>
    <w:p>
      <w:pPr>
        <w:pStyle w:val="ListBullet"/>
        <w:spacing w:after="60"/>
      </w:pPr>
      <w:r>
        <w:t>Lacks specific quantitative results or effect sizes</w:t>
      </w:r>
    </w:p>
    <w:p>
      <w:pPr>
        <w:pStyle w:val="ListBullet"/>
        <w:spacing w:after="60"/>
      </w:pPr>
      <w:r>
        <w:t>The phrase 'differential susceptibility' is introduced implicitly but not explicitly defined</w:t>
      </w:r>
    </w:p>
    <w:p>
      <w:pPr>
        <w:pStyle w:val="ListBullet"/>
        <w:spacing w:after="60"/>
      </w:pPr>
      <w:r>
        <w:t>The mechanism linking high cognitive genetic predisposition to vulnerability could be clearer</w:t>
      </w:r>
    </w:p>
    <w:p>
      <w:pPr>
        <w:pStyle w:val="ListBullet"/>
        <w:spacing w:after="60"/>
      </w:pPr>
      <w:r>
        <w:t>Some sentences could be tightened for greater efficiency</w:t>
      </w:r>
    </w:p>
    <w:p/>
    <w:p>
      <w:pPr>
        <w:pStyle w:val="Heading2"/>
      </w:pPr>
      <w:r>
        <w:t>Further Improvement Suggestions</w:t>
      </w:r>
    </w:p>
    <w:p>
      <w:pPr>
        <w:pStyle w:val="ListNumber"/>
        <w:spacing w:after="60"/>
      </w:pPr>
      <w:r>
        <w:t>Consider briefly defining or simplifying 'instrumental-variable random forests' (e.g., 'a causal inference method using natural experiments')</w:t>
      </w:r>
    </w:p>
    <w:p>
      <w:pPr>
        <w:pStyle w:val="ListNumber"/>
        <w:spacing w:after="60"/>
      </w:pPr>
      <w:r>
        <w:t>Make the connection between behavioral poverty traps and the vulnerability findings more explicit</w:t>
      </w:r>
    </w:p>
    <w:p>
      <w:pPr>
        <w:pStyle w:val="ListNumber"/>
        <w:spacing w:after="60"/>
      </w:pPr>
      <w:r>
        <w:t>Consider adding one key quantitative result to strengthen the findings (e.g., effect size or percentage increase)</w:t>
      </w:r>
    </w:p>
    <w:p>
      <w:pPr>
        <w:pStyle w:val="ListNumber"/>
        <w:spacing w:after="60"/>
      </w:pPr>
      <w:r>
        <w:t>Clarify what 'differential susceptibility' means in this context or use more accessible language</w:t>
      </w:r>
    </w:p>
    <w:p>
      <w:pPr>
        <w:pStyle w:val="ListNumber"/>
        <w:spacing w:after="60"/>
      </w:pPr>
      <w:r>
        <w:t>Tighten the opening: 'Socioeconomic deprivation increases psychiatric vulnerability in children, though susceptibility varies markedly'</w:t>
      </w:r>
    </w:p>
    <w:p>
      <w:pPr>
        <w:pStyle w:val="ListNumber"/>
        <w:spacing w:after="60"/>
      </w:pPr>
      <w:r>
        <w:t>Consider making the paradoxical finding even more prominent as it's the most striking contribution</w:t>
      </w:r>
    </w:p>
    <w:p>
      <w:pPr>
        <w:pStyle w:val="ListNumber"/>
        <w:spacing w:after="60"/>
      </w:pPr>
      <w:r>
        <w:t>Specify what 'precision approaches' might entail, even briefly, to make implications more concrete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