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42"/>
        <w:gridCol w:w="4842"/>
      </w:tblGrid>
      <w:tr>
        <w:trPr>
          <w:trHeight w:hRule="exact" w:val="573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32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 </w:t>
            </w:r>
          </w:p>
          <w:p>
            <w:pPr>
              <w:autoSpaceDN w:val="0"/>
              <w:autoSpaceDE w:val="0"/>
              <w:widowControl/>
              <w:spacing w:line="178" w:lineRule="auto" w:before="74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2 </w:t>
            </w:r>
          </w:p>
          <w:p>
            <w:pPr>
              <w:autoSpaceDN w:val="0"/>
              <w:autoSpaceDE w:val="0"/>
              <w:widowControl/>
              <w:spacing w:line="180" w:lineRule="auto" w:before="78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3 </w:t>
            </w:r>
          </w:p>
          <w:p>
            <w:pPr>
              <w:autoSpaceDN w:val="0"/>
              <w:autoSpaceDE w:val="0"/>
              <w:widowControl/>
              <w:spacing w:line="245" w:lineRule="auto" w:before="182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 </w:t>
            </w:r>
          </w:p>
          <w:p>
            <w:pPr>
              <w:autoSpaceDN w:val="0"/>
              <w:autoSpaceDE w:val="0"/>
              <w:widowControl/>
              <w:spacing w:line="245" w:lineRule="auto" w:before="164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7 </w:t>
            </w:r>
          </w:p>
          <w:p>
            <w:pPr>
              <w:autoSpaceDN w:val="0"/>
              <w:autoSpaceDE w:val="0"/>
              <w:widowControl/>
              <w:spacing w:line="180" w:lineRule="auto" w:before="168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8 </w:t>
            </w:r>
          </w:p>
          <w:p>
            <w:pPr>
              <w:autoSpaceDN w:val="0"/>
              <w:autoSpaceDE w:val="0"/>
              <w:widowControl/>
              <w:spacing w:line="245" w:lineRule="auto" w:before="162" w:after="0"/>
              <w:ind w:left="0" w:right="0" w:firstLine="11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9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 </w:t>
            </w:r>
          </w:p>
          <w:p>
            <w:pPr>
              <w:autoSpaceDN w:val="0"/>
              <w:autoSpaceDE w:val="0"/>
              <w:widowControl/>
              <w:spacing w:line="245" w:lineRule="auto" w:before="164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11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 </w:t>
            </w:r>
          </w:p>
          <w:p>
            <w:pPr>
              <w:autoSpaceDN w:val="0"/>
              <w:autoSpaceDE w:val="0"/>
              <w:widowControl/>
              <w:spacing w:line="245" w:lineRule="auto" w:before="168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13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14 </w:t>
            </w:r>
          </w:p>
          <w:p>
            <w:pPr>
              <w:autoSpaceDN w:val="0"/>
              <w:autoSpaceDE w:val="0"/>
              <w:widowControl/>
              <w:spacing w:line="180" w:lineRule="auto" w:before="166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 </w:t>
            </w:r>
          </w:p>
          <w:p>
            <w:pPr>
              <w:autoSpaceDN w:val="0"/>
              <w:autoSpaceDE w:val="0"/>
              <w:widowControl/>
              <w:spacing w:line="180" w:lineRule="auto" w:before="162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6" w:val="left"/>
                <w:tab w:pos="552" w:val="left"/>
                <w:tab w:pos="586" w:val="left"/>
                <w:tab w:pos="632" w:val="left"/>
                <w:tab w:pos="872" w:val="left"/>
                <w:tab w:pos="896" w:val="left"/>
                <w:tab w:pos="3952" w:val="left"/>
              </w:tabs>
              <w:autoSpaceDE w:val="0"/>
              <w:widowControl/>
              <w:spacing w:line="334" w:lineRule="auto" w:before="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Quasi-Experimental Analysis Reveals Neuro-Genetic Susceptibility to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Neighborhood Socioeconomic Adversity in Children’s Psychotic-Like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Experiences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Junghoon Justin Park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, Minje Cho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, Eunji Lee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, Bo-Gyeom Kim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, Gakyung Kim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Yoonjung Yoonie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Joo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3,5,6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Jiook Cha*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 xml:space="preserve">3,4,7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 Interdisciplinary Program in Artificial Intelligence, College of Engineering, Seoul National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University, Seoul, South Korea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 Department of Economics, Korea University, Seoul, South Korea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 Department of Psychology, College of Social Sciences, Seoul National University, Seoul, South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Korea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 Department of Brain and Cognitive Sciences, College of Natural Sciences, Seoul National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University, Seoul, South Korea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 Department of Digital Health, Samsung Advanced Institute for Health Sciences &amp; Technology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(SAIHST), Sungkyunkwan University, Seoul, South Korea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 Samsung Medical Center, Seoul, South Korea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 Graduate School of Data Science, Seoul National University, South Korea </w:t>
            </w:r>
          </w:p>
        </w:tc>
      </w:tr>
    </w:tbl>
    <w:p>
      <w:pPr>
        <w:autoSpaceDN w:val="0"/>
        <w:autoSpaceDE w:val="0"/>
        <w:widowControl/>
        <w:spacing w:line="180" w:lineRule="auto" w:before="10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180" w:lineRule="auto" w:before="1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 </w:t>
      </w:r>
    </w:p>
    <w:p>
      <w:pPr>
        <w:autoSpaceDN w:val="0"/>
        <w:tabs>
          <w:tab w:pos="580" w:val="left"/>
        </w:tabs>
        <w:autoSpaceDE w:val="0"/>
        <w:widowControl/>
        <w:spacing w:line="185" w:lineRule="auto" w:before="1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*Corresponding Author: Jiook Cha, PhD </w:t>
      </w:r>
    </w:p>
    <w:p>
      <w:pPr>
        <w:autoSpaceDN w:val="0"/>
        <w:tabs>
          <w:tab w:pos="1052" w:val="left"/>
        </w:tabs>
        <w:autoSpaceDE w:val="0"/>
        <w:widowControl/>
        <w:spacing w:line="182" w:lineRule="auto" w:before="1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Gwanak-ro 1, Building 16, Suite M512, Gwanakgu, Seoul, 08826, South Korea </w:t>
      </w:r>
    </w:p>
    <w:p>
      <w:pPr>
        <w:autoSpaceDN w:val="0"/>
        <w:tabs>
          <w:tab w:pos="580" w:val="left"/>
        </w:tabs>
        <w:autoSpaceDE w:val="0"/>
        <w:widowControl/>
        <w:spacing w:line="185" w:lineRule="auto" w:before="15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Email: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u w:val="single" w:color="0462c1"/>
          <w:rFonts w:ascii="Times New Roman" w:hAnsi="Times New Roman" w:eastAsia="Times New Roman"/>
          <w:b w:val="0"/>
          <w:i w:val="0"/>
          <w:color w:val="0563C1"/>
          <w:sz w:val="22"/>
        </w:rPr>
        <w:hyperlink r:id="rId9" w:history="1">
          <w:r>
            <w:rPr>
              <w:rStyle w:val="Hyperlink"/>
            </w:rPr>
            <w:t>connectome@snu.ac.kr</w:t>
          </w:r>
        </w:hyperlink>
      </w:r>
    </w:p>
    <w:p>
      <w:pPr>
        <w:autoSpaceDN w:val="0"/>
        <w:autoSpaceDE w:val="0"/>
        <w:widowControl/>
        <w:spacing w:line="178" w:lineRule="auto" w:before="1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180" w:lineRule="auto" w:before="164" w:after="106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42"/>
        <w:gridCol w:w="4842"/>
      </w:tblGrid>
      <w:tr>
        <w:trPr>
          <w:trHeight w:hRule="exact" w:val="65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24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8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Author Contributions: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J.J.P. and J.C. designed research; J.J.P. and M.C. performed research; J.J.P.,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M.C., E.L., B.-G.K., G.K., Y.Y.J. analyzed data; and J.J.P., M.C., and J.C. wrote the paper. </w:t>
            </w:r>
          </w:p>
        </w:tc>
      </w:tr>
    </w:tbl>
    <w:p>
      <w:pPr>
        <w:autoSpaceDN w:val="0"/>
        <w:autoSpaceDE w:val="0"/>
        <w:widowControl/>
        <w:spacing w:line="180" w:lineRule="auto" w:before="96" w:after="106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42"/>
        <w:gridCol w:w="4842"/>
      </w:tblGrid>
      <w:tr>
        <w:trPr>
          <w:trHeight w:hRule="exact" w:val="107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130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27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28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Competing Interest Statement: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Authors have no competing interests. </w:t>
            </w:r>
          </w:p>
          <w:p>
            <w:pPr>
              <w:autoSpaceDN w:val="0"/>
              <w:autoSpaceDE w:val="0"/>
              <w:widowControl/>
              <w:spacing w:line="252" w:lineRule="auto" w:before="1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Keywords: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Intertemporal reward valuation, Psychotic-like experiences, Causal machine learning,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Childhood socioeconomic environment, Heterogeneous effects </w:t>
            </w:r>
          </w:p>
        </w:tc>
      </w:tr>
    </w:tbl>
    <w:p>
      <w:pPr>
        <w:autoSpaceDN w:val="0"/>
        <w:autoSpaceDE w:val="0"/>
        <w:widowControl/>
        <w:spacing w:line="180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180" w:lineRule="auto" w:before="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180" w:lineRule="auto" w:before="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180" w:lineRule="auto" w:before="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180" w:lineRule="auto" w:before="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180" w:lineRule="auto" w:before="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35 </w:t>
      </w:r>
    </w:p>
    <w:p>
      <w:pPr>
        <w:sectPr>
          <w:pgSz w:w="11905" w:h="16840"/>
          <w:pgMar w:top="960" w:right="1360" w:bottom="1164" w:left="8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tabs>
          <w:tab w:pos="58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36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Abstract</w:t>
      </w:r>
    </w:p>
    <w:p>
      <w:pPr>
        <w:autoSpaceDN w:val="0"/>
        <w:tabs>
          <w:tab w:pos="1006" w:val="left"/>
        </w:tabs>
        <w:autoSpaceDE w:val="0"/>
        <w:widowControl/>
        <w:spacing w:line="185" w:lineRule="auto" w:before="51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Socioeconomic deprivation is linked to psychiatric vulnerability in children, yet the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sources of individual variability remain unclear. Using an instrumental‑variable random‑forest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framework (IV Forest) in a longitudinal cohort of 2,135 children, we estimate the association </w:t>
      </w:r>
    </w:p>
    <w:p>
      <w:pPr>
        <w:autoSpaceDN w:val="0"/>
        <w:tabs>
          <w:tab w:pos="58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between neighborhood socioeconomic deprivation and delay discounting and psychotic‑like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experiences (PLEs) using variation in neighborhood adversity induced by state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source‑of‑income anti‑discrimination laws. Under standard IV assumptions, higher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neighborhood adversity relates to steeper delay discounting and higher PLEs on average, and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associations vary systematically across children. These findings support the behavioral </w:t>
      </w:r>
    </w:p>
    <w:p>
      <w:pPr>
        <w:autoSpaceDN w:val="0"/>
        <w:tabs>
          <w:tab w:pos="58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poverty trap framework, which is a self-reinforcing cycle where poverty-induced psychological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distress relates to decisions that may perpetuate economic hardship. Moving beyond average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relationships, an integrated IV Forest model that combines delay discounting, prefrontal‑limbic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morphometry, reward‑task activation, and polygenic scores delineates marked significant </w:t>
      </w:r>
    </w:p>
    <w:p>
      <w:pPr>
        <w:autoSpaceDN w:val="0"/>
        <w:tabs>
          <w:tab w:pos="58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heterogeneity in associations between neighborhood adversity and PLEs across children. </w:t>
      </w:r>
    </w:p>
    <w:p>
      <w:pPr>
        <w:autoSpaceDN w:val="0"/>
        <w:tabs>
          <w:tab w:pos="58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Children most vulnerable to neighborhood adversity showed a paradoxical pattern: higher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genetic predisposition for cognitive achievement (GPS for cognitive performance, IQ, and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educational attainment) combined with specific limbic alterations (reduced volumes,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heightened reward-related activation). These findings challenge diathesis-stress models and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 differential susceptibility theory. By identifying who is most vulnerable to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neighborhood disadvantage and why, our results inform precision-medicine approaches to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preventing childhood psychopathology and breaking cycles of socioeconomic disadvantage. </w:t>
      </w:r>
    </w:p>
    <w:p>
      <w:pPr>
        <w:autoSpaceDN w:val="0"/>
        <w:autoSpaceDE w:val="0"/>
        <w:widowControl/>
        <w:spacing w:line="180" w:lineRule="auto" w:before="40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180" w:lineRule="auto" w:before="47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58 </w:t>
      </w:r>
    </w:p>
    <w:p>
      <w:pPr>
        <w:sectPr>
          <w:pgSz w:w="11905" w:h="16840"/>
          <w:pgMar w:top="960" w:right="1356" w:bottom="1142" w:left="8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tabs>
          <w:tab w:pos="58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59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Introduction</w:t>
      </w:r>
    </w:p>
    <w:p>
      <w:pPr>
        <w:autoSpaceDN w:val="0"/>
        <w:tabs>
          <w:tab w:pos="982" w:val="left"/>
        </w:tabs>
        <w:autoSpaceDE w:val="0"/>
        <w:widowControl/>
        <w:spacing w:line="185" w:lineRule="auto" w:before="51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child's environment is a powerful predictor of their lifelong health and economic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outcomes. Adverse childhood environments, such as low family income, malnutrition, physical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sexual abuse, and unsafe neighborhoods, are linked to an heightened risk of various mental </w:t>
      </w:r>
    </w:p>
    <w:p>
      <w:pPr>
        <w:autoSpaceDN w:val="0"/>
        <w:tabs>
          <w:tab w:pos="58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physical health issues, including psychosis (1-3), impoverished cognitive ability (1-3),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anxiety, bipolar disorder, self-harm, depression (4-6), substance abuse, and obesity (2, 3, 7).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Furthermore, these environments are associated with negative social outcomes, such as poor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academic performance (8, 9), low income, unemployment (10, 11), higher rates of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imprisonment, and increased likelihood of teen pregnancy (12, 13). Additionally,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exposure to </w:t>
      </w:r>
    </w:p>
    <w:p>
      <w:pPr>
        <w:autoSpaceDN w:val="0"/>
        <w:tabs>
          <w:tab w:pos="58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adverse conditions in childhood is associated with a propensity for engaging in risky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behaviors, including criminal activity (13, 14), excessive consumption of calorie-dense foods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(15), substance use (16, 17), deficient self-control (18), and disrupted reward processing (19). </w:t>
      </w:r>
    </w:p>
    <w:p>
      <w:pPr>
        <w:autoSpaceDN w:val="0"/>
        <w:tabs>
          <w:tab w:pos="982" w:val="left"/>
        </w:tabs>
        <w:autoSpaceDE w:val="0"/>
        <w:widowControl/>
        <w:spacing w:line="187" w:lineRule="auto" w:before="42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One prominent framework, the “behavioral poverty trap,” posits that exposure to </w:t>
      </w:r>
    </w:p>
    <w:p>
      <w:pPr>
        <w:autoSpaceDN w:val="0"/>
        <w:tabs>
          <w:tab w:pos="58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socioeconomic deprivation alters reward valuation, promoting impulsive decision-making that </w:t>
      </w:r>
    </w:p>
    <w:p>
      <w:pPr>
        <w:autoSpaceDN w:val="0"/>
        <w:tabs>
          <w:tab w:pos="58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 lead to a range of suboptimal behavior and outcomes (20, 21). Individuals with steeper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 of future rewards (i.e., value present rewards much higher than future rewards) are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likely to save less, invest less in their education, engage in criminal activities, exhibit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lower academic performance, and accumulate less economic wealth (20, 22-24). Such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impairments in intertemporal valuation are not only associated with financial and social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disadvantages but are also linked to psychiatric disorders, including psychosis, attention </w:t>
      </w:r>
    </w:p>
    <w:p>
      <w:pPr>
        <w:autoSpaceDN w:val="0"/>
        <w:tabs>
          <w:tab w:pos="58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deficit/hyperactivity disorder (ADHD), and addiction (25, 26). </w:t>
      </w:r>
    </w:p>
    <w:p>
      <w:pPr>
        <w:autoSpaceDN w:val="0"/>
        <w:tabs>
          <w:tab w:pos="982" w:val="left"/>
        </w:tabs>
        <w:autoSpaceDE w:val="0"/>
        <w:widowControl/>
        <w:spacing w:line="185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paper, we focused on psychotic-like experiences (PLEs) as a key psychiatric </w:t>
      </w:r>
    </w:p>
    <w:p>
      <w:pPr>
        <w:autoSpaceDN w:val="0"/>
        <w:tabs>
          <w:tab w:pos="58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outcome. Around 17% of 9-12 years old children report PLEs (27), individuals with PLEs at </w:t>
      </w:r>
    </w:p>
    <w:p>
      <w:pPr>
        <w:sectPr>
          <w:pgSz w:w="11905" w:h="16840"/>
          <w:pgMar w:top="960" w:right="1356" w:bottom="1150" w:left="8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age 11 had greater risk of developing psychosis in adulthood (28, 29). Prior studies revealed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PLEs are correlated to heightened vulnerability to other psychopathologies (30) including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suicidal behavior (1), mood, anxiety, and substance disorders (31-33) and exhibit the strongest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association with environmental risk factors in comparison to other internalizing/externalizing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symptoms during adolescence (2). </w:t>
      </w:r>
    </w:p>
    <w:p>
      <w:pPr>
        <w:autoSpaceDN w:val="0"/>
        <w:tabs>
          <w:tab w:pos="1092" w:val="left"/>
        </w:tabs>
        <w:autoSpaceDE w:val="0"/>
        <w:widowControl/>
        <w:spacing w:line="187" w:lineRule="auto" w:before="42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link between deprivation and PLEs is likely moderated by core neurodevelopmental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processes, and we propose that delay discounting provides a critical window into these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mechanisms (31, 34, 35). Delay discounting, which is evidenced by the extent to which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individuals’ discount future rewards, pertains to their intertemporal decision-making and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impulsive behavior. This measure of intertemporal choice is not merely a behavioral quirk but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quantifiable index of reward valuation governed by prefrontal-limbic circuits (25, 26).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Children who experienced social adversities show steeper discounting of future rewards in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adulthood (36, 37) and have higher PLEs (1, 2, 38). Comparative studies have demonstrated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individuals with psychosis discount future rewards more steeply than healthy controls (31,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34, 35), a pattern that is uniquely pronounced in psychosis compared to other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psychopathologies such as primary mood disorders (34), major depressive disorder (34), and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bipolar disorder (35). Crucially, the same mesocorticolimbic dopaminergic systems that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regulate reward anticipation are heavily implicated in the pathophysiology of psychosis (1, 2,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38). This shared neurobiological foundation suggests that individual differences in these reward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circuits could be a key mechanism determining how environmental stress translates into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psychiatric symptoms. </w:t>
      </w:r>
    </w:p>
    <w:p>
      <w:pPr>
        <w:autoSpaceDN w:val="0"/>
        <w:tabs>
          <w:tab w:pos="1092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raises the central puzzle in developmental science: why do some children exhibit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remarkable resilience to adversity while others are exquisitely vulnerable? Answering this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requires dissecting individual-level heterogeneity, which likely arises from a complex interplay </w:t>
      </w:r>
    </w:p>
    <w:p>
      <w:pPr>
        <w:sectPr>
          <w:pgSz w:w="11905" w:h="16840"/>
          <w:pgMar w:top="960" w:right="1356" w:bottom="1052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genetic predispositions and neurodevelopmental factors (39-41). Traditional linear models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 ill-equipped for this task, as they struggle to capture the high-dimensional, nonlinear gene-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 interactions that likely define a child's vulnerability (42, 43). </w:t>
      </w:r>
    </w:p>
    <w:p>
      <w:pPr>
        <w:autoSpaceDN w:val="0"/>
        <w:tabs>
          <w:tab w:pos="1092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Here, we address this challenge by applying a causal machine learning framework to rich,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longitudinal, multi-modal data—including genomics, structural and functional MRI, and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behavior—from children aged 9-12 years old in the Adolescent Brain Cognitive Development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(ABCD) Study. Using instrumental variable (IV) random forests (henceforth IV Forest) (30,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44), we move beyond population-level associations to characterize the specific neuro-genetic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patterns associated with vulnerability to the psychiatric risks of socioeconomic adversity. We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focus specifically on neighborhood socioeconomic deprivation because it represents a critical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environmental layer beyond individual family status. Neighborhood adversities during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childhood have been associated with maladaptive neurocognitive development (6, 45, 46),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psychiatric disorders (28, 29), and unfavorable social outcomes such as decreased income,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reduced probability of college attendance, and limited employment opportunities (47, 48). This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phenomenon is particularly pronounced in societies where housing discrimination based on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family income or race/ethnicity restricts underprivileged families from selecting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neighborhoods that present greater opportunities for upward social mobility, as observed in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United States (47). </w:t>
      </w:r>
    </w:p>
    <w:p>
      <w:pPr>
        <w:autoSpaceDN w:val="0"/>
        <w:tabs>
          <w:tab w:pos="1092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study first estimates the IV-based association between neighborhood socioeconomic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deprivation, steeper delay discounting, and elevated PLEs. We then document heterogeneity in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link and observe a multi-modal pattern of vulnerability characterized by specific genetic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predispositions, and limbic system structures and functions. Within this pattern, we found a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paradoxical finding: a higher genetic predisposition for cognitive achievement is positively—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rather than negatively—related to the psychiatric risks of a deprived socioeconomic </w:t>
      </w:r>
    </w:p>
    <w:p>
      <w:pPr>
        <w:sectPr>
          <w:pgSz w:w="11905" w:h="16840"/>
          <w:pgMar w:top="960" w:right="1356" w:bottom="1052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environment. </w:t>
      </w:r>
    </w:p>
    <w:p>
      <w:pPr>
        <w:autoSpaceDN w:val="0"/>
        <w:autoSpaceDE w:val="0"/>
        <w:widowControl/>
        <w:spacing w:line="180" w:lineRule="auto" w:before="49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131 </w:t>
      </w:r>
    </w:p>
    <w:p>
      <w:pPr>
        <w:sectPr>
          <w:pgSz w:w="11905" w:h="16840"/>
          <w:pgMar w:top="960" w:right="1440" w:bottom="144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Methods </w:t>
      </w:r>
    </w:p>
    <w:p>
      <w:pPr>
        <w:autoSpaceDN w:val="0"/>
        <w:tabs>
          <w:tab w:pos="690" w:val="left"/>
        </w:tabs>
        <w:autoSpaceDE w:val="0"/>
        <w:widowControl/>
        <w:spacing w:line="216" w:lineRule="auto" w:before="1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Study Participants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ABCD Study recruited participants from 21 research sites across the nation, utilizing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stratified, probability sampling method to capture the sociodemographic variation of the US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population (49). We used the baseline, first year, and second year follow-up datasets included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ABCD Release 4.0, downloaded on February 10, 2022.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ensure the highest quality of data and internal validity for our analyses, we implemented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standardized preprocessing and quality control pipelines recommended by the ABCD Study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consortium (50, 51). Of the initial 11,876 ABCD samples, participants not meeting the ABCD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Study’s MRI quality control standards (N=3,275) were excluded. Similarly, for the delay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 task, we applied the Johnson-Bickel validation criterion (52), as recommended by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ABCD behavioral workgroup (51), to exclude participants with inconsistent responses (i.e.,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indifferent point for a given delay larger than that of an indifference point for a longer delay)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(N=5,293). We also removed participants without genotype data, MRI data, NIH Toolbox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Cognitive Battery, delay discounting, residential address, ADI, and PLEs (N=1,173). Missing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values of covariates were imputed using k-nearest neighbors. The final samples included 2,135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children from a variety of race/ethnic groups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Fig. 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p>
      <w:pPr>
        <w:autoSpaceDN w:val="0"/>
        <w:autoSpaceDE w:val="0"/>
        <w:widowControl/>
        <w:spacing w:line="180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149 </w:t>
      </w:r>
    </w:p>
    <w:p>
      <w:pPr>
        <w:autoSpaceDN w:val="0"/>
        <w:tabs>
          <w:tab w:pos="690" w:val="left"/>
        </w:tabs>
        <w:autoSpaceDE w:val="0"/>
        <w:widowControl/>
        <w:spacing w:line="216" w:lineRule="auto" w:before="43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Data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6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Our primary exposure was neighborhood socioeconomic adversity, measured at baseline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the national percentile scores of the Area Deprivation Index (ADI) (2, 45). The primary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outcomes were delay discounting, a model-free measure of reward impulsivity assessed at the </w:t>
      </w:r>
    </w:p>
    <w:p>
      <w:pPr>
        <w:sectPr>
          <w:pgSz w:w="11905" w:h="16840"/>
          <w:pgMar w:top="960" w:right="1356" w:bottom="125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1-year follow-up (51), and PLEs, measured using the Prodromal Questionnaire-Brief Child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version at 1- and 2-year follow-ups (53). A lower value of delay discounting denotes steeper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 of future rewards; a higher value of PLE score indicates greater severity of PLEs.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identify moderators of vulnerability, we utilized a rich, multi-modal dataset including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genome-wide polygenic scores (GPS) for cognitive and psychiatric traits, structural MRI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measures of brain morphometry (50), and functional MRI data from a monetary incentive delay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(MID) task (50). Detailed descriptions of all measures, tasks, and MRI processing pipelines are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provided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Supplementary Information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adjust for the potential confounding effects, sociodemographic covariates were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included. Consistent with existing research on psychiatric disorders in ABCD samples (2, 53-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55), we controlled for the child’s sex, age, race/ethnicity, caregiver’s relationship to a child,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BMI, parental education, marital status of the caregiver, household income, parent’s age, and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family history of psychiatric disorders. The family history of psychiatric disorders, measured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the proportion of first-degree relatives who experienced psychosis, depression, mania,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suicidality, previous hospitalization, or professional help for mental health issues (2) was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included as a covariate. Given that delay discounting and PLEs are associated with an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individual's neurocognitive capabilities (56-58), NIH Toolbox total intelligence was used as a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covariate. All covariates were from baseline year observations. </w:t>
      </w:r>
    </w:p>
    <w:p>
      <w:pPr>
        <w:autoSpaceDN w:val="0"/>
        <w:autoSpaceDE w:val="0"/>
        <w:widowControl/>
        <w:spacing w:line="180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172 </w:t>
      </w:r>
    </w:p>
    <w:p>
      <w:pPr>
        <w:autoSpaceDN w:val="0"/>
        <w:tabs>
          <w:tab w:pos="690" w:val="left"/>
        </w:tabs>
        <w:autoSpaceDE w:val="0"/>
        <w:widowControl/>
        <w:spacing w:line="216" w:lineRule="auto" w:before="43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Statistical Analyses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6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Given the non-randomized, observational nature of the ABCD Study, potential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confounding factors, such as genetic, environmental variables, and their unobserved common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causes, can lead to biased estimations (59). A powerful and effective way to adjust such bias is </w:t>
      </w:r>
    </w:p>
    <w:p>
      <w:pPr>
        <w:sectPr>
          <w:pgSz w:w="11905" w:h="16840"/>
          <w:pgMar w:top="960" w:right="1356" w:bottom="111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IV regression. Designed to isolate a quasi-random source of variation in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treatment/exposure variable, IV regression is an effective method to conduct quasi-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experimental analysis using non-randomized, observational data for research in various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domains, including economics (60, 61), psychology (62), neuroscience (63), and psychiatry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(64).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Our instrument is the presence of state-level source of income (SOI) laws at baseline year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assessment, which prohibit housing discrimination against voucher holders. These laws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increase the landlords’ acceptance of housing vouchers, aiding low-income families in securing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quality housing. As such, SOI laws are critical in enabling better residential environments by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mitigating neighborhood socioeconomic adversity. That is, the implementation of these laws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provides 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natural experiment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it strongly predicts a family's neighborhood adversity (i.e., ADI)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but is plausibly unrelated to the unobserved confounding factors that typically bias estimates.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IV analysis leverages this exogenous variation from SOI laws to estimate the associations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ADI with delay discounting and PLEs while mitigating bias from unobserved confounders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(see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Fig. 2A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We present theoretical explanations of the IV method and detailed justification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SOI laws as valid instrument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Supplementary Information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used IV Forest (65, 66)—a random forest-based IV regression (60)—to adjust for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unobserved confounding bias in identifying the potential relationship of ADI with delay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 and PLEs. The IV Forest method provides nonparametric, doubly robust estimates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average (group-level) and heterogeneous (individual-level) associations of ADI with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outcomes, interpreted under the IV assumptions (see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Fig. 2B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This method is noted for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delivering estimates with significantly lower mean-squared error compared to conventional k-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nearest neighbor methods (65, 66). Furthermore, its use of independent subsamples for model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construction and validation ensures honest, overfitting-resistant estimates of average and </w:t>
      </w:r>
    </w:p>
    <w:p>
      <w:pPr>
        <w:sectPr>
          <w:pgSz w:w="11905" w:h="16840"/>
          <w:pgMar w:top="960" w:right="1356" w:bottom="1052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heterogeneous relationships (65-67). Notably, this method is particularly useful for analyzing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complex, nonlinear interactions between genetic and environmental factors and their link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neurocognitive development and PLEs, even within the confines of observational data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(65). We used cluster‑robust inference with the ABCD Study site as the clustering unit for IV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Forest estimates. The technical description of the IV Forest algorithm is detailed in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206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Supplementary Information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Fig. 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presents the analytical framework of our study, examining the associations of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neighborhood socioeconomic adversity with children's decision-making and mental health.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ADI, recorded in the baseline year, serves as an indicator of this socioeconomic adversity. We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210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assessed the potential link between ADI and children’s intertemporal decision-making through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211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delay discounting at a 1-year follow-up. PLEs, encompassing distress, delusional, and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212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hallucinational symptoms, were evaluated at both 1-year and 2-year follow-ups. Our analysis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spans multiple follow-up periods and PLE indicators to investigate the sustained influence of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214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ADI over time and to explore differential associations with various PLE symptoms, particularly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delusional versus hallucinational. </w:t>
      </w:r>
    </w:p>
    <w:p>
      <w:pPr>
        <w:autoSpaceDN w:val="0"/>
        <w:autoSpaceDE w:val="0"/>
        <w:widowControl/>
        <w:spacing w:line="180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216 </w:t>
      </w:r>
    </w:p>
    <w:p>
      <w:pPr>
        <w:sectPr>
          <w:pgSz w:w="11905" w:h="16840"/>
          <w:pgMar w:top="960" w:right="1356" w:bottom="144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217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Results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51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demographic characteristics of the final sample (N=2,135) are presented in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Table 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the sample, 46.14% were female, 76.63% of participants had married parents, the mean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220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household income was $116,538, and 65.57% identified their race/ethnicity as white. 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221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our initial exploratory analysis, partial correlations were used to examine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222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relationship between psychopathological symptoms and delay discounting. Among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223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symptoms assessed (e.g., depression, anxiety, ADHD), only PLEs showed significant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31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correlation with delay discounting (Spearman </w:t>
      </w:r>
      <w:r>
        <w:rPr>
          <w:rFonts w:ascii="Malgun Gothic" w:hAnsi="Malgun Gothic" w:eastAsia="Malgun Gothic"/>
          <w:b w:val="0"/>
          <w:i w:val="0"/>
          <w:color w:val="000000"/>
          <w:sz w:val="24"/>
        </w:rPr>
        <w:t>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-0.067, p-FDR=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0.024 ~ </w:t>
      </w:r>
      <w:r>
        <w:rPr>
          <w:rFonts w:ascii="Malgun Gothic" w:hAnsi="Malgun Gothic" w:eastAsia="Malgun Gothic"/>
          <w:b w:val="0"/>
          <w:i w:val="0"/>
          <w:color w:val="000000"/>
          <w:sz w:val="24"/>
        </w:rPr>
        <w:t>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-0.057, p-FDR=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4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0.035)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Table S1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This finding underscores the unique association between PLEs and delay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226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discounting, laying the groundwork for subsequent investigations into how delay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227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discounting—along with its genetic and neural correlates—may be associated with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228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heterogeneous relationship of neighborhood socioeconomic adversity with PLEs. </w:t>
      </w:r>
    </w:p>
    <w:p>
      <w:pPr>
        <w:autoSpaceDN w:val="0"/>
        <w:autoSpaceDE w:val="0"/>
        <w:widowControl/>
        <w:spacing w:line="180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229 </w:t>
      </w:r>
    </w:p>
    <w:p>
      <w:pPr>
        <w:autoSpaceDN w:val="0"/>
        <w:tabs>
          <w:tab w:pos="690" w:val="left"/>
        </w:tabs>
        <w:autoSpaceDE w:val="0"/>
        <w:widowControl/>
        <w:spacing w:line="216" w:lineRule="auto" w:before="44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230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Neighborhood Socioeconomic Adversity is Associated with Steeper Delay </w:t>
      </w:r>
    </w:p>
    <w:p>
      <w:pPr>
        <w:autoSpaceDN w:val="0"/>
        <w:tabs>
          <w:tab w:pos="690" w:val="left"/>
        </w:tabs>
        <w:autoSpaceDE w:val="0"/>
        <w:widowControl/>
        <w:spacing w:line="216" w:lineRule="auto" w:before="31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231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Discounting and Higher PLEs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6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232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 Forest analyses suggested that a higher ADI has significant associations with a steeper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233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delay discounting (β= -1.73, p-FDR= 0.048) and a higher PLEs (distress score 1-year follow-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234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up: β= 1.872, p-FDR=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0.048; distress score 2-year follow-up: β= 1.504, p-FDR= 0.039;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235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delusional score 1-year follow-up: β= 5.97, p-FDR= 0.048; delusional score 2-year follow-up: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236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β= 4.022, p-FDR=0.048; hallucinational score 1-year follow-up: β= 3.761, p-FDR= 0.048;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237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hallucinational score 2-year follow-up: β= 4.786, p-FDR=0.039)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Table 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p>
      <w:pPr>
        <w:sectPr>
          <w:pgSz w:w="11905" w:h="16840"/>
          <w:pgMar w:top="960" w:right="1344" w:bottom="128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1116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238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evaluate the robustness of our findings from the IV Forest, we calculated the E-values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239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average relationships from the IV Forest. The E-values quantify the minimum strength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240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association that unobserved confounders would need to possess with both ADI and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241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outcomes, conditional on the observed covariates in the IV Forest model, to nullify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242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observed relationships (68). E-values indicated that unobserved confounders would need to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243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a relative risk greater than 9.13 for delay discounting and between 7.32 and 457.03 for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244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PLEs to account entirely for the observed effects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Table S2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This suggests a high threshold for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245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unobserved confounding effects, thereby strengthening the validity of our analyses. 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246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Supplementary analyses employing a conventional linear IV regression (60) and an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247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alternative causal machine learning method, i.e.,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Double ML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(69, 70), corroborated these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248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findings. The conventional IV regression also showed that ADI has negative relationship with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249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childhood delay discounting (β= -0.468, p-FDR= 0.03) and positive PLEs (distress score 1-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250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year follow-up: β= 0.609, p-FDR= 0.011; distress score 2-year follow-up: β= 0.78, p-FDR=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251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0.003; delusional score 1-year follow-up: β= 0.486, p-FDR= 0.028; delusional score 2-year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252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follow-up: β= 0.578, p-FDR= 0.013; hallucinational score 1-year follow-up: β= 0.604, p-FDR=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253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0.011; hallucinational score 2-year follow-up: β= 0.827, p-FDR= 0.003). The partial-linear IV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254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of the Double ML algorithm showed significant associations of ADI with children’s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255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delay discounting (β= -0.429, p-FDR= 0.044), distress score PLEs (1-year follow-up: β= 0.495,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256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p-FDR= 0.023; 2-year follow-up: β= 0.609, p-FDR= 0.005), hallucinational score PLEs (1-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257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year follow-up: β= 0.498, p-FDR= 0.018; 2-year follow-up: β= 0.683, p-FDR= 0.002), and 2-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258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year follow-up delusional score PLEs (β= 0.417, p-FDR= 0.044). The negative relationship of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259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ADI with 1-year follow-up delusional score PLEs were marginally significant (β= 0.393, p-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260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FDR= 0.051). These results of the conventional linear IV regression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Table S3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and Double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261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ML partial-linear IV regression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Table S4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are consistent with the findings obtained from the </w:t>
      </w:r>
    </w:p>
    <w:p>
      <w:pPr>
        <w:sectPr>
          <w:pgSz w:w="11905" w:h="16840"/>
          <w:pgMar w:top="960" w:right="1356" w:bottom="1132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262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 Forest, further supporting the primary analyses and conclusions drawn from the study. </w:t>
      </w:r>
    </w:p>
    <w:p>
      <w:pPr>
        <w:autoSpaceDN w:val="0"/>
        <w:autoSpaceDE w:val="0"/>
        <w:widowControl/>
        <w:spacing w:line="180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263 </w:t>
      </w:r>
    </w:p>
    <w:p>
      <w:pPr>
        <w:autoSpaceDN w:val="0"/>
        <w:tabs>
          <w:tab w:pos="690" w:val="left"/>
        </w:tabs>
        <w:autoSpaceDE w:val="0"/>
        <w:widowControl/>
        <w:spacing w:line="216" w:lineRule="auto" w:before="43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264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Genetic and Neural Correlates of Delay Discounting Moderates </w:t>
      </w:r>
    </w:p>
    <w:p>
      <w:pPr>
        <w:autoSpaceDN w:val="0"/>
        <w:tabs>
          <w:tab w:pos="690" w:val="left"/>
        </w:tabs>
        <w:autoSpaceDE w:val="0"/>
        <w:widowControl/>
        <w:spacing w:line="216" w:lineRule="auto" w:before="31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265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Vulnerability to Neighborhood Socioeconomic Adversity 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46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266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Next, we moved beyond the average relationships to test for heterogeneous associations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267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neighborhood socioeconomic deprivation: i.e., whether the associations of ADI with PLEs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268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varies systematically across children, and, if so, whether the heterogeneity is linked to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269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individual’s neurodevelopmental characteristics and the relevant genetic factors correlated to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270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intertemporal valuation. Conceptually, this is analogous to testing for an interaction, where the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271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associations of ADI with PLEs is moderated by, or differ as a function of a child's individual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272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genetic and neural markers. Unlike traditional models might test a few pre-specified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273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interactions, our IV Forest approach allows us to explore this heterogeneity in a data-driven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274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manner across a high-dimensional set of potential moderators, including GPS and structural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275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MRI and MID task functional MRI data. 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276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identify the best subset of genetic and neural correlates of delay discounting, we first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277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selected GPS and MRI brain regions of interest (ROIs) specifically related to delay discounting.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278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analyze the nonparametric correlations of multiple input variables, we used a random forest-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279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feature selection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Boruta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algorithm (71). Its robustness and effectiveness in selecting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280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relevant features in high dimensional, intercorrelated biomedical data (e.g., MRI) has been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281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validated (71) and consistently applied in genetics and neuroscience research (72-74).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282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variables significantly correlated with delay discounting (p-Bonferroni&lt;0.05) were GPS of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283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cognitive performance, IQ, and education attainment; morphometric features (e.g., surface area,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284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volume) in the limbic system (temporal pole, parahippocampal gyrus, caudate nucleus, rostral </w:t>
      </w:r>
    </w:p>
    <w:p>
      <w:pPr>
        <w:sectPr>
          <w:pgSz w:w="11905" w:h="16840"/>
          <w:pgMar w:top="960" w:right="1298" w:bottom="1068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285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anterior cingulate, isthmus cingulate), inferior frontal gyrus (pars opercularis), and fusiform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286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gyrus; mean beta activations of rewards/losses versus neutral feedback in the subcortical areas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287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(thalamus proper, ventral diencephalon), precentral gyrus, supramarginal gyrus, temporal lobe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288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(transverse temporal gyrus, superior temporal gyrus), and insula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Table S5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289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then assessed the heterogeneous associations of ADI with PLEs using three distinct IV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290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Forest models: (i) the Delay Discounting model, incorporating sociodemographic features and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291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delay discounting; (ii) the Gene-Brain model, which included sociodemographic features and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292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genetic and neural correlates of delay discounting (i.e., GPS and brain ROIs identified using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293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Boruta algorithm); and (iii) the Integrated model which combined all the variables from the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294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previous two models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Fig. 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All three models satisfied the overlap assumption (i.e.,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295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estimated propensity scores are not close to one or zero), which is crucial for the validity of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296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estimated heterogeneous relationships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Fig. S1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In line with prior studies (75, 76), we obtained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297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conditional average effects, divided subjects into deciles (Q1: most vulnerable; Q10: most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298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resilient) based on the conditional average effects, and conducted three hypothesis tests (77)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299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each model to determine the most effective model for capturing the individual differences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(heterogeneity) in the associations of ADI with PLEs: monotonicity, alternative hypothesis, and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ANOVA.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Among the three models, only the Integrated model showed significant individual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differences in the associations of ADI with PLEs. This was evident in the associations of ADI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1-year follow-up distress score PLEs (monotonicity test: p-FDR=0.011; alternative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hypothesis test: p-FDR=0.0252; ANOVA test: p-FDR&lt;0.001) and 1-year follow-up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hallucinational score PLEs (monotonicity test: p-FDR=0.038; alternative hypothesis test: p-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FDR=0.0252; ANOVA test: p-FDR&lt;0.001), as presented in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Fig. 3 and Table S6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 In contrast,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Delay Discounting model and Gene-Brain model failed to pass the heterogeneity tests </w:t>
      </w:r>
    </w:p>
    <w:p>
      <w:pPr>
        <w:sectPr>
          <w:pgSz w:w="11905" w:h="16840"/>
          <w:pgMar w:top="960" w:right="1356" w:bottom="1052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(monotonicity test: p-FDR≥0.05; alternative hypothesis and ANOVA test: p≥0.05).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310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elucidate the role of specific genetic and neural correlates within the heterogeneous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311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associations of ADI with PLEs, we obtained Shapley additive explanation (SHAP) scores (78).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312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SHAP scores provide insights into how each variable correlates positively or negatively to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differential associations of ADI with 1-year follow-up observations of distress score and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314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hallucinational score PLEs. These scores help differentiate the roles of these factors across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subgroups, ranging from low to high conditional average effects, thereby providing a nuanced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316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understanding of how ADI is correlated with PLEs through various genetic and neural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317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pathways. 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both distress score and hallucinational score PLEs, children who showed higher levels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ADI’s negative relationship with PLEs exhibited distinct neuroanatomical and functional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320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brain patterns, particularly in the limbic system. These patterns included reduced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321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neuroanatomical features such as smaller white matter and surface area in the right temporal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322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pole, reduced area and volume in the right parahippocampal region, decreased left white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323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surface area, smaller area in the right isthmus cingulate, reduced intracranial volume, smaller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caudate nucleus volume, and lower total grey matter volume. Functionally, greater activation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during MID tasks was observed in several areas including the posterior cingulate, right ventral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326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diencephalon, right insula, left thalamus proper, and left precentral gyrus. Additionally,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327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children more adversely affected by ADI, as indicated by higher conditional average effects on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328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PLEs, exhibited larger right fusiform volume, decreased activation in the left superior temporal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gyrus, younger parental age, and lower BMI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Fig. S2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330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analysis also revealed that higher conditional average effects on distress score PLEs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331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 associated with higher cognitive performance GPS and a lower likelihood of being </w:t>
      </w:r>
    </w:p>
    <w:p>
      <w:pPr>
        <w:sectPr>
          <w:pgSz w:w="11905" w:h="16840"/>
          <w:pgMar w:top="960" w:right="1356" w:bottom="124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332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Hispanic. In contrast, for hallucinational score PLEs, greater importance was attributed to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333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increased activation in the left supramarginal gyrus during MID tasks and more pronounced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334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 of future rewards. These nuanced associations are depicted in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Fig. S2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335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further characterize this gene-environment interaction underlying these relationships,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336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obtained conditional average effects of ADI on 1-year follow-up distress score PLEs,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337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conditioned on GPS for cognitive traits (i.e., cognitive performance, IQ, and education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338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attainment). Within the model, the estimated conditional average effects tended to increase with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339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higher values of GPSs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Fig. 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This suggests that individuals with a higher genetic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340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predisposition for academic and cognitive achievement are paradoxically more vulnerable to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341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psychotogenic effects of a deprived socioeconomic environment.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342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Given that quality control procedures reduced a large proportion of participants from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343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initial ABCD Study cohort, we conducted sensitivity analysis using inverse probability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344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weighting to adjust for potential selection bias (see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Supplementary Information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345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methodological details). After inverse probability weighting adjustments, the heterogeneous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346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associations of ADI remained statistically significant for both distress (monotonicity: p-</w:t>
      </w:r>
    </w:p>
    <w:p>
      <w:pPr>
        <w:autoSpaceDN w:val="0"/>
        <w:tabs>
          <w:tab w:pos="690" w:val="left"/>
          <w:tab w:pos="2166" w:val="left"/>
          <w:tab w:pos="3450" w:val="left"/>
          <w:tab w:pos="4822" w:val="left"/>
          <w:tab w:pos="6492" w:val="left"/>
          <w:tab w:pos="7674" w:val="left"/>
          <w:tab w:pos="9374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347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FDR=0.011;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alternative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hypothesis: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p-FDR=0.008;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ANOVA: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p-FDR&lt;0.001)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348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hallucinational PLEs (monotonicity: p-FDR=0.038; alternative hypothesis: p-FDR=0.008;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349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ANOVA: p-FDR&lt;0.001) at 1-year follow-up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Table S8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p>
      <w:pPr>
        <w:autoSpaceDN w:val="0"/>
        <w:autoSpaceDE w:val="0"/>
        <w:widowControl/>
        <w:spacing w:line="180" w:lineRule="auto" w:before="49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350 </w:t>
      </w:r>
    </w:p>
    <w:p>
      <w:pPr>
        <w:sectPr>
          <w:pgSz w:w="11905" w:h="16840"/>
          <w:pgMar w:top="960" w:right="1356" w:bottom="144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351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Discussion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51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352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study, we examined how neighborhood socioeconomic deprivation relates to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353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children’s intertemporal choice behavior (delay discounting) and PLEs, considering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354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multifaceted associations of neighborhood adversity and its underlying biological,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355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environmental, and behavioral drivers. Our findings can be distilled into two main points.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356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Firstly, there was a notable link of living in socioeconomically disadvantaged neighborhoods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357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propensity for children to prefer immediate rewards over larger, delayed ones—a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358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behavior known as steep delay discounting (indicative of lower impulse control) and to a higher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359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rate of PLEs. This association was significant even after adjusting for a range of observed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360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confounding factors (e.g., familial socioeconomic status) and reducing potential bias from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361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unobserved confounders via IV approach. Secondly, the associations of disadvantaged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362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neighborhood environments with PLEs were found to be heterogeneous. This individual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363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variability is moderated not just by delay discounting, but also by a confluence of factors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364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genetic predisposition for cognitive intelligence, and brain morphometry and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365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functioning (task activation). Causal machine learning models utilized in our study have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366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identified a spectrum of conditions that either exacerbate vulnerability or contribute to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367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resilience, accounting for the diverse correlations of neighborhood environments with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368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children's PLEs.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369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Our findings hold implications for social science and economic theory by providing quasi-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370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experimental evidence for the “behavioral poverty trap”. Our finding that neighborhood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371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socioeconomic adversity is linked to children’s intertemporal choice toward steeper reward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372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 challenges the longstanding economic assumption that time preference is a fixed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373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trait. This environmentally induced shift towards more impulsive decision-making, likely </w:t>
      </w:r>
    </w:p>
    <w:p>
      <w:pPr>
        <w:sectPr>
          <w:pgSz w:w="11905" w:h="16840"/>
          <w:pgMar w:top="960" w:right="1356" w:bottom="123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374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driven by factors such as cognitive load from resource scarcity and reduced social trust, could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375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foster behaviors that might perpetuate socioeconomic challenges. These results suggest that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376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policies aimed at improving childhood environments may be crucial for breaking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377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intergenerational cycles of disadvantage. A more detailed examination of these theoretical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378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frameworks is provided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Supplementary Information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379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plausible biological mechanism for these findings involves the association of chronic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380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stress with the neurodevelopmental trajectory of prefrontal-limbic circuits. Prior research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381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indicates that neighborhood socioeconomic deprivation is a potent chronic stressor that elevates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382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glucocorticoid hormones like cortisol (79-83). During the critical adolescent period of our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383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cohort, prolonged glucocorticoid dysregulation can induce epigenetic modifications that alter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384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mesocorticolimbic dopaminergic system, which governs reward valuation and is heavily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385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implicated in the pathophysiology of psychosis (33, 84-87). The neuro-genetic patterns of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386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vulnerability we identified—characterized by reduced limbic volume and altered prefrontal-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387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limbic reactivity during reward processing—are therefore consistent with a stress-induced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388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disruption of the reward system that confers risk for both impulsive decision-making and PLEs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389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(24, 88). A more detailed review of the supporting evidence is available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Supplementary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390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Information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391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our study, we discovered that children, when exposed to deprived neighborhoods and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392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already facing the challenges of residential disadvantage, were more likely to experience PLEs.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393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Surprisingly, these children also showed a higher GPS for cognitive performance, IQ, and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394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education attainment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Fig. 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At first glance, this finding seems to contradict prior research,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395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has consistently identified a negative relationship between PLEs and cognitive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396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(38, 89). </w:t>
      </w:r>
    </w:p>
    <w:p>
      <w:pPr>
        <w:sectPr>
          <w:pgSz w:w="11905" w:h="16840"/>
          <w:pgMar w:top="960" w:right="1356" w:bottom="132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1116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397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interpret this paradox through the lens of gene-environment interaction theory,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398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specifically the bioecological model and the Scarr-Rowe hypothesis (90-92). This framework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399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posits that genetic influences on traits diminish under adverse environmental conditions—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400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analogous to how nutrient-poor soil constrains plant growth regardless of genetic potential (93).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401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our context, residential disadvantage appears to suppress the protective effects of cognitive-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402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related genetic variants, rendering children with higher cognitive ability GPS more vulnerable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403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environmental stressors that precipitate PLEs. Critically, those with the greatest genetic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404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potential for cognitive performance lose the most protection, creating heightened susceptibility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405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neighborhood-level adversity. 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406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interaction pattern aligns with differential susceptibility theory (94, 95), which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407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proposes that certain genetic profiles confer both vulnerability to negative environments and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408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enhanced benefit from positive ones. While our study of neighborhood deprivation captures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409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the “for worse” component, our results satisfy a key theoretical prerequisite by providing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410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evidence that genetic advantage may paradoxically increase environmental vulnerability. This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411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challenges traditional diathesis-stress models and instead supports a genetic plasticity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412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framework where the same variants that confer advantage in supportive contexts create risk in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adverse ones.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414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three GPSs examined here—encompassing cognitive performance, IQ, and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educational attainment—capture accumulated learning and developmental potential (96, 97).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416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the differential susceptibility framework, elevated cognitive ability GPS may index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417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heightened neurobiological plasticity that, when confronted with resource-poor environments,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generates stress responses that increase PLE risk. Conversely, individuals with lower cognitive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ability GPS may show resilience precisely because they exhibit reduced environmental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420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reactivity, making them less sensitive to the specific stressors—such as thwarted potential or </w:t>
      </w:r>
    </w:p>
    <w:p>
      <w:pPr>
        <w:sectPr>
          <w:pgSz w:w="11905" w:h="16840"/>
          <w:pgMar w:top="960" w:right="1356" w:bottom="1052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421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limited opportunities—that characterize deprived neighborhoods and may trigger psychotic-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422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like experiences.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423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Consistent with our findings, recent large-scale studies have demonstrated that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association of genetics with brain structure, cognitive functions, and mental health disorders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becomes less significant in harmful environments (e.g., abuse) (98, 99). Conversely, in more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426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supportive and enriched settings, like those associated with higher socioeconomic status,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427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genetic influences are more noticeable (e.g., high socioeconomic status) (91, 100, 101).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428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Together with these findings, our study contributes to a deeper understanding of how genetic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environmental factors interact to influence the development of psychopathology in children. 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430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Several limitations of this study warrant consideration. First, while our IV approach was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431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employed to mitigate unobserved confounding, the observational nature of the ABCD Study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432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necessitates a cautious interpretation of causality. While we took steps to substantiate it with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433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prior research and sensitivity analyses (detailed in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Instrumental Variable Regression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section of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434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Supplementary Information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our interpretations should be read as associations based on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435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IV-estimates that are compatible with a causal account but remain assumption‑dependent.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436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Second, the stringent neuroimaging and behavioral quality‑control filters necessary for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437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internal validity yielded appreciable attrition from the ABCD Study cohort, introducing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438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potential selection effects. The final sample was predominantly white (65.57%, self-reported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439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race/ethnicity), which may also limit the generalizability of our specific neuro-genetic findings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440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individuals from other racial and ethnic backgrounds. To formally address this challenge, we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441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conducted a sensitivity analysis using inverse probability weighting, a rigorous method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442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designed to account for potential selection bias. While this sensitivity analysis demonstrated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443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our key findings on heterogeneous associations of neighborhood adversity with PLEs were </w:t>
      </w:r>
    </w:p>
    <w:p>
      <w:pPr>
        <w:sectPr>
          <w:pgSz w:w="11905" w:h="16840"/>
          <w:pgMar w:top="960" w:right="1290" w:bottom="124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444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robust to reweighting on observed characteristics, this approach cannot address selection on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445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unmeasured factors. Children excluded due to motion artifacts or task non-compliance may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446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differ in ways correlated with both neuroimaging quality and psychiatric vulnerability.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447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Therefore, our findings apply specifically to children capable of completing comprehensive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448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assessments—a limitation that may exclude those at highest risk. Future studies should develop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449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protocols enabling broader participation while maintaining data quality.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450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Third, the follow‑up horizon is limited to baseline, 1‑year, and 2‑year assessments. It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451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should be noted that additional longitudinal data from the ABCD Study were publicly released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452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this work was finalized, so were not included. Longer observation windows are needed to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453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map trajectories from adversity to psychosis‑spectrum outcomes and to evaluate the stability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454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heterogeneity signals.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455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Beyond neighborhood deprivation, testing other environmental risk factors as primary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456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exposures—particularly parenting/ family environment (102) and early‑life stress (99)—will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457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clarify whether similar neuro‑genetic profiles index differential susceptibility across contexts.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458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Later ABCD releases enable (i) time‑varying and cumulative‑exposure models, (ii)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459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ancestry‑stratified and site‑robust analyses, and (iii) external replication. Such work will help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460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whether the identified moderators can support risk stratification and inform precision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461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prevention. </w:t>
      </w:r>
    </w:p>
    <w:p>
      <w:pPr>
        <w:autoSpaceDN w:val="0"/>
        <w:tabs>
          <w:tab w:pos="111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462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study highlights the differential associations of neighborhood disadvantage with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463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intertemporal economic decisions and PLEs during early childhood. It underscores the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464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importance of identifying diverse links by integrating genetic and environmental factors to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465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guide personalized healthcare approaches. Furthermore, we propose that enhancing the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466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childhood environment may contribute to the reduction of economic and health inequality gaps. </w:t>
      </w:r>
    </w:p>
    <w:p>
      <w:pPr>
        <w:sectPr>
          <w:pgSz w:w="11905" w:h="16840"/>
          <w:pgMar w:top="960" w:right="1356" w:bottom="124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467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Economic policies promoting positive intertemporal choice (e.g., increased savings, healthy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468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diet) have predominantly focused on paternalistic welfare policies in adulthood. These policies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469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often assume that an individual’s tendency to discount future rewards is fixed (“exogenous”)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470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(24). However, our findings suggest that policies or interventions aimed at enhancing the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471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socioeconomic environment during childhood may foster improved intertemporal choice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472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behavior, thereby reducing economic (13, 20, 21) and health inequality (17, 103). By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473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addressing the root of the problem, this indirect approach may assist individuals in developing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474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capacity to make more informed choices, ultimately promoting better outcomes. 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475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Finally, our findings provide an empirical counterpoint to longstanding philosophical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476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questions about human agency. Immanuel Kant, in his book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Critique of Practical Reason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477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argued for an a priori capacity for reason, independent of external factors (104). Our work,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478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suggests that the neuro-genetic mechanisms governing intertemporal choice and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479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psychiatric vulnerability are profoundly associated with a child's socioeconomic environment.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480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link between environment and the biological substrates of decision-making challenges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481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models of responsibility that assume unconstrained free will. Instead, our results call for a more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482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nuanced understanding of individual agency, suggesting that societal approaches to justice,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483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policy, and intervention must account for the powerful and heterogeneous ways in which a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484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child's environment is related with their neurocognitive development. </w:t>
      </w:r>
    </w:p>
    <w:p>
      <w:pPr>
        <w:autoSpaceDN w:val="0"/>
        <w:autoSpaceDE w:val="0"/>
        <w:widowControl/>
        <w:spacing w:line="180" w:lineRule="auto" w:before="49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485 </w:t>
      </w:r>
    </w:p>
    <w:p>
      <w:pPr>
        <w:sectPr>
          <w:pgSz w:w="11905" w:h="16840"/>
          <w:pgMar w:top="960" w:right="1356" w:bottom="144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486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Data availability 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51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487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ABCD Study dataset is openly available to all eligible researchers upon the submission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488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an access request via the National Institutes of Mental Health Data Archive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489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(</w:t>
          </w:r>
        </w:hyperlink>
      </w:r>
      <w:r>
        <w:rPr>
          <w:u w:val="single" w:color="0462c1"/>
          <w:rFonts w:ascii="Times New Roman" w:hAnsi="Times New Roman" w:eastAsia="Times New Roman"/>
          <w:b w:val="0"/>
          <w:i w:val="0"/>
          <w:color w:val="0563C1"/>
          <w:sz w:val="24"/>
        </w:rPr>
        <w:hyperlink r:id="rId10" w:history="1">
          <w:r>
            <w:rPr>
              <w:rStyle w:val="Hyperlink"/>
            </w:rPr>
            <w:t>https://nda.nih.gov/abcd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)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Comprehensive written informed consent was obtained from the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490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parents of participants, with children providing assent. The study protocols were approved by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491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University of California, San Diego's Institutional Review Board (IRB), under approval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492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number 160091, in addition to receiving approval from the IRBs of the 21 participating data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493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collection site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 (105).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80" w:lineRule="auto" w:before="466" w:after="174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494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rPr>
          <w:trHeight w:hRule="exact" w:val="398"/>
        </w:trPr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28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495 </w:t>
            </w:r>
          </w:p>
        </w:tc>
        <w:tc>
          <w:tcPr>
            <w:tcW w:type="dxa" w:w="4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Code availability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results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can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found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 </w:t>
            </w:r>
          </w:p>
        </w:tc>
      </w:tr>
      <w:tr>
        <w:trPr>
          <w:trHeight w:hRule="exact" w:val="780"/>
        </w:trPr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22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496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All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codes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needed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replicate </w:t>
            </w:r>
          </w:p>
        </w:tc>
        <w:tc>
          <w:tcPr>
            <w:tcW w:type="dxa" w:w="816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</w:tr>
      <w:tr>
        <w:trPr>
          <w:trHeight w:hRule="exact" w:val="610"/>
        </w:trPr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8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497 </w:t>
            </w:r>
          </w:p>
        </w:tc>
        <w:tc>
          <w:tcPr>
            <w:tcW w:type="dxa" w:w="4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0" w:right="0" w:firstLine="0"/>
              <w:jc w:val="center"/>
            </w:pPr>
            <w:r>
              <w:rPr>
                <w:u w:val="single" w:color="0462c1"/>
                <w:rFonts w:ascii="Times New Roman" w:hAnsi="Times New Roman" w:eastAsia="Times New Roman"/>
                <w:b w:val="0"/>
                <w:i w:val="0"/>
                <w:color w:val="0563C1"/>
                <w:sz w:val="24"/>
              </w:rPr>
              <w:t>https://github.com/Transconnectome/DD-HTE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816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auto" w:before="43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498 </w:t>
      </w:r>
    </w:p>
    <w:p>
      <w:pPr>
        <w:autoSpaceDN w:val="0"/>
        <w:autoSpaceDE w:val="0"/>
        <w:widowControl/>
        <w:spacing w:line="180" w:lineRule="auto" w:before="61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499 </w:t>
      </w:r>
    </w:p>
    <w:p>
      <w:pPr>
        <w:sectPr>
          <w:pgSz w:w="11905" w:h="16840"/>
          <w:pgMar w:top="960" w:right="1364" w:bottom="144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500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References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55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501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Karcher NR, Niendam TA, Barch DM. Adverse childhood experiences and psychotic-like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502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experiences are associated above and beyond shared correlates: Findings from the adolescent brain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503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cognitive development study. Schizophrenia Research. 2020;222:235-42.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504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Karcher NR, Schiffman J, Barch DM. Environmental Risk Factors and Psychotic-like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505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Experiences in Children Aged 9–10. Journal of the American Academy of Child &amp; Adolescent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506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Psychiatry. 2021;60(4):490-500.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507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Gur RE, Moore TM, Rosen AFG, Barzilay R, Roalf DR, Calkins ME, et al. Burden of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508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Environmental Adversity Associated With Psychopathology, Maturation, and Brain Behavior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509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Parameters in Youths. JAMA Psychiatry. 2019;76(9):966.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510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Tomasi D, Volkow ND. Associations of family income with cognition and brain structure in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511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USA children: prevention implications. Molecular Psychiatry. 2021.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512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Vargas T, Damme KSF, Mittal VA. Neighborhood deprivation, prefrontal morphology and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513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neurocognition in late childhood to early adolescence. NeuroImage. 2020;220:117086.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514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Hackman DA, Cserbik D, Chen J-C, Berhane K, Minaravesh B, McConnell R, Herting MM.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515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Association of Local Variation in Neighborhood Disadvantage in Metropolitan Areas With Youth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516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Neurocognition and Brain Structure. JAMA Pediatrics. 2021;175(8):e210426.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517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Ye J, Wen Y, Sun X, Chu X, Li P, Cheng B, et al. Socioeconomic Deprivation Index Is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518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Associated With Psychiatric Disorders: An Observational and Genome-wide Gene-by-Environment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519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Interaction Analysis in the UK Biobank Cohort. Biol Psychiatry. 2021;89(9):888-95.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520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Bor J, Cohen GH, Galea S. Population health in an era of rising income inequality: USA,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521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1980–2015. The Lancet. 2017;389(10077):1475-90.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522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Dennis E, Manza P, Volkow ND. Socioeconomic status, BMI, and brain development in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523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children. Transl Psychiatry. 2022;12(1).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524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Leventhal T, Brooks-Gunn J. The neighborhoods they live in: The effects of neighborhood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525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residence on child and adolescent outcomes. Psychological Bulletin. 2000;126(2):309-37.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526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Leventhal T, Brooks-Gunn J. A Randomized Study of Neighborhood Effects on Low Income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527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Children's Educational Outcomes. Developmental Psychology. 2004;40:488-507.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528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Fryer RG, Katz LF. Achieving Escape Velocity: Neighborhood and School Interventions to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529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Reduce Persistent Inequality. Am Econ Rev. 2013;103(3):232-7.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530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Barr A, Gibbs CR. Breaking the Cycle? Intergenerational Effects of an Antipoverty Program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531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in Early Childhood. Journal of Political Economy. 2022;130(12):3253-85.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532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Heckman JJ. Skill Formation and the Economics of Investing in Disadvantaged Children.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533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Science. 2006;312:1900-2.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534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Lowe CJ, Morton JB, Reichelt AC. Adolescent Obesity and Dietary Decision Making—a Brain-</w:t>
      </w:r>
    </w:p>
    <w:p>
      <w:pPr>
        <w:sectPr>
          <w:pgSz w:w="11905" w:h="16840"/>
          <w:pgMar w:top="960" w:right="1344" w:bottom="117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535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Health Perspective. The Lancet Child &amp; Adolescent Health. 2020;4(5):388-96.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536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Shonkoff JP. Leveraging the biology of adversity to address the roots of disparities in health </w:t>
      </w:r>
    </w:p>
    <w:p>
      <w:pPr>
        <w:autoSpaceDN w:val="0"/>
        <w:tabs>
          <w:tab w:pos="690" w:val="left"/>
          <w:tab w:pos="1440" w:val="left"/>
          <w:tab w:pos="3080" w:val="left"/>
          <w:tab w:pos="4594" w:val="left"/>
          <w:tab w:pos="5188" w:val="left"/>
          <w:tab w:pos="5892" w:val="left"/>
          <w:tab w:pos="7072" w:val="left"/>
          <w:tab w:pos="8310" w:val="left"/>
          <w:tab w:pos="890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537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development.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Proceedings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Academy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Sciences.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538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2012;109(Supplement_2):17302-7.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539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Shonkoff JP. Capitalizing on Advances in Science to Reduce the Health Consequences of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540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Early Childhood Adversity. JAMA Pediatrics. 2016;170(10):1003.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541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Zhang H, Lee ZX, White T, Qiu A. Parental and social factors in relation to child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542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psychopathology, behavior, and cognitive function. Transl Psychiatry. 2020;10(1).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543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Pechtel P, Pizzagalli DA. Disrupted Reinforcement Learning and Maladaptive Behavior in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544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Women With a History of Childhood Sexual Abuse. JAMA Psychiatry. 2013;70(5):499.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545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Laajaj R. Endogenous time horizon and behavioral poverty trap: Theory and evidence from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546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Mozambique. Journal of Development Economics. 2017;127:187-208.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5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547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Adamkovi</w:t>
      </w:r>
      <w:r>
        <w:rPr>
          <w:rFonts w:ascii="Calibri" w:hAnsi="Calibri" w:eastAsia="Calibri"/>
          <w:b w:val="0"/>
          <w:i w:val="0"/>
          <w:color w:val="000000"/>
          <w:sz w:val="20"/>
        </w:rPr>
        <w:t>č</w:t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 M, Marton</w:t>
      </w:r>
      <w:r>
        <w:rPr>
          <w:rFonts w:ascii="Calibri" w:hAnsi="Calibri" w:eastAsia="Calibri"/>
          <w:b w:val="0"/>
          <w:i w:val="0"/>
          <w:color w:val="000000"/>
          <w:sz w:val="20"/>
        </w:rPr>
        <w:t>č</w:t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ik M. A Review of Consequences of Poverty on Economic Decision-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7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548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Making: A Hypothesized Model of a Cognitive Mechanism. Frontiers in Psychology. 2017;8.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549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Epper T, Fehr E, Fehr-Duda H, Kreiner CT, Lassen DD, Leth-Petersen S, Rasmussen GN. Time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550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Discounting and Wealth Inequality. Am Econ Rev. 2020;110(4):1177-205.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551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Epper T, Fehr E, Hvidberg KB, Kreiner CT, Leth-Petersen S, Nytoft Rasmussen G. Preferences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552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predict who commits crime among young men. Proceedings of the National Academy of Sciences.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553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2022;119(6):e2112645119.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554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Ericson KM, Laibson D. Intertemporal choice. In: Bernheim BD, DellaVigna S, Laibson D,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555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editors. Handbook of Behavioral Economics: Applications and Foundations 1. 2: North-Holland; 2019.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556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p. 1-67.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557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Maia TV, Frank MJ. From reinforcement learning models to psychiatric and neurological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558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disorders. Nature Neuroscience. 2011;14(2):154-62.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559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Juechems K, Summerfield C. Where Does Value Come From? Trends in Cognitive Sciences.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560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2019;23(10):836-50.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561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Cannon M, Clarke MC, Connor D, Devlin N, Harley M, Kelleher I. Prevalence of psychotic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562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symptoms in childhood and adolescence: a systematic review and meta-analysis of population-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563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based studies. Psychological Medicine. 2012;42(9):1857-63.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564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Kelleher I, Cannon M. Psychotic-like experiences in the general population: characterizing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565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 high-risk group for psychosis. Psychological Medicine. 2011;41(1):1-6.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566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Poulton R, Caspi A, Moffitt TE, Cannon M, Murray R, Harrington H. Children's Self-Reported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567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Psychotic Symptoms and Adult Schizophreniform Disorder. Archives of General Psychiatry.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568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2000;57(11):1053.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569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Van Os J, Reininghaus U. Psychosis as a transdiagnostic and extended phenotype in the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570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general population. World Psychiatry. 2016;15(2):118-24.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571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Ahn W-Y, Rass O, Fridberg DJ, Bishara AJ, Forsyth JK, Breier A, et al. Temporal discounting </w:t>
      </w:r>
    </w:p>
    <w:p>
      <w:pPr>
        <w:sectPr>
          <w:pgSz w:w="11905" w:h="16840"/>
          <w:pgMar w:top="980" w:right="1300" w:bottom="108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69"/>
        <w:gridCol w:w="3269"/>
        <w:gridCol w:w="3269"/>
      </w:tblGrid>
      <w:tr>
        <w:trPr>
          <w:trHeight w:hRule="exact" w:val="642"/>
        </w:trPr>
        <w:tc>
          <w:tcPr>
            <w:tcW w:type="dxa" w:w="5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30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572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573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574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575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576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577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578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579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580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581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582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583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584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585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586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587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588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589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590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591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592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593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594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595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596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597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598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599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600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601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602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603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604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605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606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607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608 </w:t>
            </w:r>
          </w:p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of rewards in patients with bipolar disorder and schizophrenia. Journal of Abnormal Psychology.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2011;120(4):911-21.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8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32.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8" w:after="0"/>
              <w:ind w:left="242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Ermakova AO, Knolle F, Justicia A, Bullmore ET, Jones PB, Robbins TW, et al. Abnormal </w:t>
            </w:r>
          </w:p>
        </w:tc>
      </w:tr>
      <w:tr>
        <w:trPr>
          <w:trHeight w:hRule="exact" w:val="700"/>
        </w:trPr>
        <w:tc>
          <w:tcPr>
            <w:tcW w:type="dxa" w:w="3269"/>
            <w:vMerge/>
            <w:tcBorders/>
          </w:tcPr>
          <w:p/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reward prediction-error signalling in antipsychotic naive individuals with first-episode psychosis or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clinical risk for psychosis. Neuropsychopharmacology. 2018;43(8):1691-9.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44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33.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44" w:after="0"/>
              <w:ind w:left="242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Amlung M, Marsden E, Holshausen K, Morris V, Patel H, Vedelago L, et al. Delay Discounting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4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as a Transdiagnostic Process in Psychiatric Disorders. JAMA Psychiatry. 2019;76(11):1176. </w:t>
            </w:r>
          </w:p>
        </w:tc>
      </w:tr>
      <w:tr>
        <w:trPr>
          <w:trHeight w:hRule="exact" w:val="360"/>
        </w:trPr>
        <w:tc>
          <w:tcPr>
            <w:tcW w:type="dxa" w:w="326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6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34.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60" w:after="0"/>
              <w:ind w:left="242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Brown HE, Hart KL, Snapper LA, Roffman JL, Perlis RH. Impairment in delay discounting in </w:t>
            </w:r>
          </w:p>
        </w:tc>
      </w:tr>
      <w:tr>
        <w:trPr>
          <w:trHeight w:hRule="exact" w:val="680"/>
        </w:trPr>
        <w:tc>
          <w:tcPr>
            <w:tcW w:type="dxa" w:w="3269"/>
            <w:vMerge/>
            <w:tcBorders/>
          </w:tcPr>
          <w:p/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schizophrenia and schizoaffective disorder but not primary mood disorders. npj Schizophrenia.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2018;4(1):9.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4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35.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4" w:after="0"/>
              <w:ind w:left="242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Wang H, Lesh TA, Maddock RJ, Fassbender C, Carter CS. Delay discounting abnormalities </w:t>
            </w:r>
          </w:p>
        </w:tc>
      </w:tr>
      <w:tr>
        <w:trPr>
          <w:trHeight w:hRule="exact" w:val="1740"/>
        </w:trPr>
        <w:tc>
          <w:tcPr>
            <w:tcW w:type="dxa" w:w="3269"/>
            <w:vMerge/>
            <w:tcBorders/>
          </w:tcPr>
          <w:p/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60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are seen in first-episode schizophrenia but not in bipolar disorder. Schizophrenia Research. </w:t>
            </w:r>
          </w:p>
          <w:p>
            <w:pPr>
              <w:autoSpaceDN w:val="0"/>
              <w:tabs>
                <w:tab w:pos="962" w:val="left"/>
              </w:tabs>
              <w:autoSpaceDE w:val="0"/>
              <w:widowControl/>
              <w:spacing w:line="144" w:lineRule="auto" w:before="32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36.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Kim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‐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Spoon J, Lauharatanahirun N, Peviani K, Brieant A, Deater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‐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>Deckard K, Bickel WK, King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0"/>
              </w:rPr>
              <w:t>‐</w:t>
            </w:r>
          </w:p>
          <w:p>
            <w:pPr>
              <w:autoSpaceDN w:val="0"/>
              <w:autoSpaceDE w:val="0"/>
              <w:widowControl/>
              <w:spacing w:line="178" w:lineRule="auto" w:before="0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2020;216:200-6. </w:t>
            </w:r>
          </w:p>
          <w:p>
            <w:pPr>
              <w:autoSpaceDN w:val="0"/>
              <w:autoSpaceDE w:val="0"/>
              <w:widowControl/>
              <w:spacing w:line="180" w:lineRule="auto" w:before="434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Casas B. Longitudinal pathways linking family risk, neural risk processing, delay discounting, and </w:t>
            </w:r>
          </w:p>
          <w:p>
            <w:pPr>
              <w:autoSpaceDN w:val="0"/>
              <w:autoSpaceDE w:val="0"/>
              <w:widowControl/>
              <w:spacing w:line="180" w:lineRule="auto" w:before="86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adolescent substance use. Journal of Child Psychology and Psychiatry. 2019;60(6):655-64.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37.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0" w:after="0"/>
              <w:ind w:left="242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Oshri A, Hallowell E, Liu S, Mackillop J, Galvan A, Kogan SM, Sweet LH. Socioeconomic </w:t>
            </w:r>
          </w:p>
        </w:tc>
      </w:tr>
      <w:tr>
        <w:trPr>
          <w:trHeight w:hRule="exact" w:val="700"/>
        </w:trPr>
        <w:tc>
          <w:tcPr>
            <w:tcW w:type="dxa" w:w="3269"/>
            <w:vMerge/>
            <w:tcBorders/>
          </w:tcPr>
          <w:p/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hardship and delayed reward discounting: Associations with working memory and emotional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reactivity. Developmental Cognitive Neuroscience. 2019;37:100642.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38.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0" w:after="0"/>
              <w:ind w:left="242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Park J, Lee E, Cho G, Hwang H, Kim B, Kim G, et al. Gene-Environment Pathways to Cognitive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4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Intelligence and Psychotic-Like Experiences in Children. eLife. 2023. </w:t>
            </w:r>
          </w:p>
        </w:tc>
      </w:tr>
      <w:tr>
        <w:trPr>
          <w:trHeight w:hRule="exact" w:val="360"/>
        </w:trPr>
        <w:tc>
          <w:tcPr>
            <w:tcW w:type="dxa" w:w="326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39.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242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Derks EM, Thorp JG, Gerring ZF. Ten challenges for clinical translation in psychiatric genetics.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46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Nature Genetics. 2022;54(10):1457-65.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56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40.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56" w:after="0"/>
              <w:ind w:left="242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Bakermans-Kranenburg MJ, Van Ijzendoorn MH. The Hidden Efficacy of Interventions: </w:t>
            </w:r>
          </w:p>
        </w:tc>
      </w:tr>
      <w:tr>
        <w:trPr>
          <w:trHeight w:hRule="exact" w:val="700"/>
        </w:trPr>
        <w:tc>
          <w:tcPr>
            <w:tcW w:type="dxa" w:w="3269"/>
            <w:vMerge/>
            <w:tcBorders/>
          </w:tcPr>
          <w:p/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Gene×Environment Experiments from a Differential Susceptibility Perspective. Annual Review of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Psychology. 2015;66(1):381-409.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41.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0" w:after="0"/>
              <w:ind w:left="242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Ellis BJ, Boyce WT, Belsky J, Bakermans-Kranenburg MJ, Van Ijzendoorn MH. Differential </w:t>
            </w:r>
          </w:p>
        </w:tc>
      </w:tr>
      <w:tr>
        <w:trPr>
          <w:trHeight w:hRule="exact" w:val="700"/>
        </w:trPr>
        <w:tc>
          <w:tcPr>
            <w:tcW w:type="dxa" w:w="3269"/>
            <w:vMerge/>
            <w:tcBorders/>
          </w:tcPr>
          <w:p/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susceptibility to the environment: An evolutionary–neurodevelopmental theory. Development and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Psychopathology. 2011;23(1):7-28.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0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42.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0" w:after="0"/>
              <w:ind w:left="242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Border R, Johnson EC, Evans LM, Smolen A, Berley N, Sullivan PF, Keller MC. No Support </w:t>
            </w:r>
          </w:p>
        </w:tc>
      </w:tr>
      <w:tr>
        <w:trPr>
          <w:trHeight w:hRule="exact" w:val="700"/>
        </w:trPr>
        <w:tc>
          <w:tcPr>
            <w:tcW w:type="dxa" w:w="3269"/>
            <w:vMerge/>
            <w:tcBorders/>
          </w:tcPr>
          <w:p/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for Historical Candidate Gene or Candidate Gene-by-Interaction Hypotheses for Major Depression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Across Multiple Large Samples. American Journal of Psychiatry. 2019;176(5):376-87.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6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43.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6" w:after="0"/>
              <w:ind w:left="242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Figlio DN, Freese J, Karbownik K, Roth J. Socioeconomic status and genetic influences on </w:t>
            </w:r>
          </w:p>
        </w:tc>
      </w:tr>
      <w:tr>
        <w:trPr>
          <w:trHeight w:hRule="exact" w:val="340"/>
        </w:trPr>
        <w:tc>
          <w:tcPr>
            <w:tcW w:type="dxa" w:w="3269"/>
            <w:vMerge/>
            <w:tcBorders/>
          </w:tcPr>
          <w:p/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2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cognitive development. Proceedings of the National Academy of Sciences. 2017;114(51):13441-6. </w:t>
            </w:r>
          </w:p>
        </w:tc>
      </w:tr>
      <w:tr>
        <w:trPr>
          <w:trHeight w:hRule="exact" w:val="360"/>
        </w:trPr>
        <w:tc>
          <w:tcPr>
            <w:tcW w:type="dxa" w:w="326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2" w:after="0"/>
              <w:ind w:left="0" w:right="0" w:firstLine="0"/>
              <w:jc w:val="center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44.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2" w:after="0"/>
              <w:ind w:left="242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van der Steen Y, Myin-Germeys I, Van Nierop M, Ten Have M, De Graaf R, Van Dorsselaer </w:t>
            </w:r>
          </w:p>
        </w:tc>
      </w:tr>
      <w:tr>
        <w:trPr>
          <w:trHeight w:hRule="exact" w:val="630"/>
        </w:trPr>
        <w:tc>
          <w:tcPr>
            <w:tcW w:type="dxa" w:w="3269"/>
            <w:vMerge/>
            <w:tcBorders/>
          </w:tcPr>
          <w:p/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6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S, et al. ‘False-positive’ self-reported psychotic experiences in the general population: an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investigation of outcome, predictive factors and clinical relevance. Epidemiology and Psychiatric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980" w:right="1348" w:bottom="108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609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Sciences. 2019;28(5):532-43.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610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Rakesh D, Seguin C, Zalesky A, Cropley V, Whittle S. Associations between neighborhood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611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disadvantage, resting-state functional connectivity, and behavior in the Adolescent Brain Cognitive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612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Development (ABCD) Study</w:t>
      </w:r>
      <w:r>
        <w:rPr>
          <w:rFonts w:ascii="MS Gothic" w:hAnsi="MS Gothic" w:eastAsia="MS Gothic"/>
          <w:b w:val="0"/>
          <w:i w:val="0"/>
          <w:color w:val="000000"/>
          <w:sz w:val="20"/>
        </w:rPr>
        <w:t>Ⓡ</w:t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: Moderating role of positive family and school environments.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613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Biological Psychiatry: Cognitive Neuroscience and Neuroimaging. 2021.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614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Taylor RL, Cooper SR, Jackson JJ, Barch DM. Assessment of Neighborhood Poverty, Cognitive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615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Function, and Prefrontal and Hippocampal Volumes in Children. JAMA Network Open.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616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2020;3(11):e2023774.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617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Chetty R, Hendren N. The Impacts of Neighborhoods on Intergenerational Mobility I: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618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Childhood Exposure Effects*. The Quarterly Journal of Economics. 2018;133(3):1107-62.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619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Oreopoulos P. The Long-Run Consequences of Living in a Poor Neighborhood*. The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620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Quarterly Journal of Economics. 2003;118(4):1533-75.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621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49.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Karcher NR, Barch DM. The ABCD study: understanding the development of risk for mental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622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and physical health outcomes. Neuropsychopharmacology. 2021;46(1):131-42.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623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Casey BJ, Cannonier T, Conley MI, Cohen AO, Barch DM, Heitzeg MM, et al. The Adolescent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624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Brain Cognitive Development (ABCD) study: Imaging acquisition across 21 sites. Developmental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625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Cognitive Neuroscience. 2018;32:43-54.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626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Luciana M, Bjork JM, Nagel BJ, Barch DM, Gonzalez R, Nixon SJ, Banich MT. Adolescent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627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neurocognitive development and impacts of substance use: Overview of the adolescent brain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628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cognitive development (ABCD) baseline neurocognition battery. Developmental Cognitive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629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Neuroscience. 2018;32:67-79. </w:t>
      </w:r>
    </w:p>
    <w:p>
      <w:pPr>
        <w:autoSpaceDN w:val="0"/>
        <w:tabs>
          <w:tab w:pos="690" w:val="left"/>
          <w:tab w:pos="1446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630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Johnson MW, Bickel WK. An algorithm for identifying nonsystematic delay-discounting data.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631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Experimental and Clinical Psychopharmacology. 2008;16(3):264-74.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632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Karcher NR, Barch DM, Avenevoli S, Savill M, Huber RS, Simon TJ, et al. Assessment of the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633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Prodromal Questionnaire–Brief Child Version for Measurement of Self-reported Psychotic-like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634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Experiences in Childhood. JAMA Psychiatry. 2018;75(8):853.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635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Karcher NR, Paul SE, Johnson EC, Hatoum AS, Baranger DAA, Agrawal A, et al. Psychotic-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636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like Experiences and Polygenic Liability in the Adolescent Brain Cognitive Development Study.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637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Biological Psychiatry: Cognitive Neuroscience and Neuroimaging. 2021.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638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van Dijk MT, Murphy E, Posner JE, Talati A, Weissman MM. Association of Multigenerational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639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Family History of Depression With Lifetime Depressive and Other Psychiatric Disorders in Children.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640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JAMA Psychiatry. 2021.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641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Anokhin AP, Grant JD, Mulligan RC, Heath AC. The Genetics of Impulsivity: Evidence for the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642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Heritability of Delay Discounting. Biol Psychiatry. 2015;77(10):887-94.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643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Shamosh NA, Gray JR. Delay discounting and intelligence: A meta-analysis. Intelligence.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644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2008;36(4):289-305.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645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Keidel K, Rramani Q, Weber B, Murawski C, Ettinger U. Individual Differences in </w:t>
      </w:r>
    </w:p>
    <w:p>
      <w:pPr>
        <w:sectPr>
          <w:pgSz w:w="11905" w:h="16840"/>
          <w:pgMar w:top="980" w:right="1344" w:bottom="108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646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Intertemporal Choice. Frontiers in Psychology. 2021;12.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647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59.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Akimova ET, Breen R, Brazel DM, Mills MC. Gene-environment dependencies lead to collider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648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bias in models with polygenic scores. Scientific Reports. 2021;11(1).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649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Angrist JD, Imbens GW, Rubin DB. Identification of Causal Effects Using Instrumental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650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Variables. Journal of the American Statistical Association. 1996;91(434):444-55.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651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Angrist JD, Krueger AB. Instrumental Variables and the Search for Identification: From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652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Supply and Demand to Natural Experiments. Journal of Economic Perspectives. 2001;15(4):69-85.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653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Grosz MP, Rohrer JM, Thoemmes F. The Taboo Against Explicit Causal Inference in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654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Nonexperimental Psychology. Perspectives on Psychological Science. 2020;15(5):1243-55.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655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Marinescu IE, Lawlor PN, Kording KP. Quasi-experimental causality in neuroscience and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656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behavioural research. Nature Human Behaviour. 2018;2(12):891-8.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657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Ohlsson H, Kendler KS. Applying Causal Inference Methods in Psychiatric Epidemiology.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658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JAMA Psychiatry. 2020;77(6):637.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659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Athey S, Tibshirani J, Wager S. Generalized random forests. The Annals of Statistics.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660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2019;47(2):1148-78.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661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Wager S, Athey S. Estimation and Inference of Heterogeneous Treatment Effects using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662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Random Forests. Journal of the American Statistical Association. 2018;113(523):1228-42.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663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Athey S, Imbens G. Recursive partitioning for heterogeneous causal effects. Proceedings of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664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the National Academy of Sciences. 2016;113(27):7353-60.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665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VanderWeele TJ, Ding P. Sensitivity Analysis in Observational Research: Introducing the E-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666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Value. Annals of Internal Medicine. 2017;167(4):268-74.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667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Bach P, Chernozhukov V, Kurz MS, Spindler M. DoubleML-An Object-Oriented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668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Implementation of Double Machine Learning in Python. Journal of Machine Learning Research.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669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2022;23(53):1-6.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670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Chernozhukov V, Chetverikov D, Demirer M, Duflo E, Hansen C, Newey W, Robins J.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671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Double/debiased machine learning for treatment and structural parameters. The Econometrics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672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Journal. 2018;21(1):C1-C68.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673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Kursa MB, Rudnicki WR. Feature Selection with the Boruta Package. Journal of Statistical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674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Software. 2010;36(11):1 - 13.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675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Sveinbjornsson G, Ulfarsson MO, Thorolfsdottir RB, Jonsson BA, Einarsson E, Gunnlaugsson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676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G, et al. Multiomics study of nonalcoholic fatty liver disease. Nature Genetics. 2022;54(11):1652-63.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677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Wang Z, Zhou X, Gui Y, Liu M, Lu H. Multiple measurement analysis of resting-state fMRI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678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for ADHD classification in adolescent brain from the ABCD study. Transl Psychiatry. 2023;13(1):45.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679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Ball G, Aljabar P, Arichi T, Tusor N, Cox D, Merchant N, et al. Machine-learning to characterise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680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neonatal functional connectivity in the preterm brain. NeuroImage. 2016;124:267-75.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681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Goligher EC, Lawler PR, Jensen TP, Talisa V, Berry LR, Lorenzi E, et al. Heterogeneous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682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Treatment Effects of Therapeutic-Dose Heparin in Patients Hospitalized for COVID-19. JAMA. 2023. </w:t>
      </w:r>
    </w:p>
    <w:p>
      <w:pPr>
        <w:sectPr>
          <w:pgSz w:w="11905" w:h="16840"/>
          <w:pgMar w:top="980" w:right="1344" w:bottom="108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683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Athey S, Wager S. Estimating Treatment Effects with Causal Forests: An Application.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684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Observational Studies. 2019;5(2):37-51.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685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Chernozhukov V, Demirer M, Duflo E, Fernández-Val I. Generic Machine Learning Inference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686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on Heterogeneous Treatment Effects in Randomized Experiments, with an Application to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687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Immunization in India. National Bureau of Economic Research Working Paper Series. 2018;No. 24678.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688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Lundberg SM, Erion G, Chen H, DeGrave A, Prutkin JM, Nair B, et al. From local explanations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689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to global understanding with explainable AI for trees. Nature Machine Intelligence. 2020;2(1):56-67.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690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Johnson LE, Parra LA, Ugarte E, Weissman DG, Han SG, Robins RW, et al. Patterns of poverty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691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across adolescence predict salivary cortisol stress responses in Mexican-origin youths.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692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Psychoneuroendocrinology. 2021;132:105340.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693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Fernald LCH, Gunnar MR. Poverty-alleviation program participation and salivary cortisol in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694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very low-income children. Social Science &amp; Medicine. 2009;68(12):2180-9.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695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Anselme P, Güntürkün O. How foraging works: Uncertainty magnifies food-seeking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696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motivation. Behavioral and Brain Sciences. 2019;42:e35.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697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Barik J, Marti F, Morel C, Fernandez SP, Lanteri C, Godeheu G, et al. Chronic Stress Triggers </w:t>
      </w:r>
    </w:p>
    <w:p>
      <w:pPr>
        <w:autoSpaceDN w:val="0"/>
        <w:tabs>
          <w:tab w:pos="690" w:val="left"/>
          <w:tab w:pos="1480" w:val="left"/>
          <w:tab w:pos="2508" w:val="left"/>
          <w:tab w:pos="3022" w:val="left"/>
          <w:tab w:pos="4592" w:val="left"/>
          <w:tab w:pos="5652" w:val="left"/>
          <w:tab w:pos="6076" w:val="left"/>
          <w:tab w:pos="7924" w:val="left"/>
          <w:tab w:pos="8988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698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Social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Aversion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via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Glucocorticoid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Receptor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Dopaminoceptive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Neurons.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Science.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699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2013;339(6117):332-5.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700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Niwa M, Jaaro-Peled H, Tankou S, Seshadri S, Hikida T, Matsumoto Y, et al. Adolescent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701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Stress–Induced Epigenetic Control of Dopaminergic Neurons via Glucocorticoids. Science.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702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2013;339(6117):335-9.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703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Zald DH, Treadway MT. Reward Processing, Neuroeconomics, and Psychopathology. Annu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704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Rev Clin Psychol. 2017;13:471-95.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705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Vosberg DE, Leyton M, Flores C. The Netrin-1/DCC guidance system: dopamine pathway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706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maturation and psychiatric disorders emerging in adolescence. Molecular Psychiatry. 2020;25(2):297-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707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708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Maia TV, Frank MJ. An Integrative Perspective on the Role of Dopamine in Schizophrenia.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709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Biol Psychiatry. 2017;81(1):52-66.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710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Millard SJ, Bearden CE, Karlsgodt KH, Sharpe MJ. The prediction-error hypothesis of </w:t>
      </w:r>
    </w:p>
    <w:p>
      <w:pPr>
        <w:autoSpaceDN w:val="0"/>
        <w:tabs>
          <w:tab w:pos="690" w:val="left"/>
          <w:tab w:pos="2254" w:val="left"/>
          <w:tab w:pos="2904" w:val="left"/>
          <w:tab w:pos="3588" w:val="left"/>
          <w:tab w:pos="4348" w:val="left"/>
          <w:tab w:pos="4822" w:val="left"/>
          <w:tab w:pos="6386" w:val="left"/>
          <w:tab w:pos="7412" w:val="left"/>
          <w:tab w:pos="7862" w:val="left"/>
          <w:tab w:pos="905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711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schizophrenia: </w:t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data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point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circuit-specific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changes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dopamine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activity.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712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Neuropsychopharmacology. 2022;47(3):628-40.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713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Becker GS, Mulligan CB. The Endogenous Determination of Time Preference. The Quarterly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714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Journal of Economics. 1997;112(3):729-58.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715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Hubbard L, Tansey KE, Rai D, Jones P, Ripke S, Chambert KD, et al. Evidence of Common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716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Genetic Overlap Between Schizophrenia and Cognition. Schizophrenia Bulletin. 2016;42(3):832-42.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717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Bronfenbrenner U, Ceci SJ. Nature-nuture reconceptualized in developmental perspective: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718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 bioecological model. Psychological Review. 1994;101(4):568-86.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719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Gottschling J, Hahn E, Beam CR, Spinath FM, Carroll S, Turkheimer E. Socioeconomic status </w:t>
      </w:r>
    </w:p>
    <w:p>
      <w:pPr>
        <w:sectPr>
          <w:pgSz w:w="11905" w:h="16840"/>
          <w:pgMar w:top="980" w:right="1344" w:bottom="108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720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amplifies genetic effects in middle childhood in a large German twin sample. Intelligence.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721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2019;72:20-7.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722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Turkheimer E, Haley A, Waldron M, D'Onofrio B, Gottesman II. Socioeconomic Status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723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Modifies Heritability of IQ in Young Children. Psychol Sci. 2003;14(6):623-8.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724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Lewontin R. Human Diversity. New York: Scientific American Library; 1995.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725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Belsky J, Bakermans-Kranenburg MJ, van Ijzendoorn MH. For Better and For Worse: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726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Differential Susceptibility to Environmental Influences. Current Directions in Psychological Science.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727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2007;16(6):300-4.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728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Belsky J, Pluess M. Beyond diathesis stress: Differential susceptibility to environmental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729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influences. Psychological Bulletin. 2009;135(6):885-908.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730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Lee JJ, Wedow R, Okbay A, Kong E, Maghzian O, Zacher M, et al. Gene discovery and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731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polygenic prediction from a genome-wide association study of educational attainment in 1.1 million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732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individuals. Nature Genetics. 2018;50(8):1112-21.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733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Okbay A, Wu Y, Wang N, Jayashankar H, Bennett M, Nehzati SM, et al. Polygenic prediction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734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of educational attainment within and between families from genome-wide association analyses in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735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 million individuals. Nature Genetics. 2022;54(4):437-49.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736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Taylor MJ, Freeman D, Lundström S, Larsson H, Ronald A. Heritability of Psychotic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737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Experiences in Adolescents and Interaction With Environmental Risk. JAMA Psychiatry.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738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2022;79(9):889.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739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Wang H-H, Moon S-Y, Kim H, Kim G, Ahn W-Y, Joo YY, Cha J. Early life stress modulates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740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the genetic influence on brain structure and cognitive function in children. Heliyon.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741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2024;10(1):e23345.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742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South SC, Krueger RF. Genetic and environmental influences on internalizing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743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psychopathology vary as a function of economic status. Psychological Medicine. 2011;41(1):107-17.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744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Bates TC, Lewis GJ, Weiss A. Childhood Socioeconomic Status Amplifies Genetic Effects on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745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Adult Intelligence. Psychol Sci. 2013;24(10):2111-6.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746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Park J, Lee E, Cho G, Hwang H, Kim B-G, Kim G, et al. Gene–Environment Pathways to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747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Cognitive Intelligence and Psychotic-Like Experiences in Children. eLife. 2024;12:RP88117.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748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Cunha F, Heckman JJ. The Economics and Psychology of Inequality and Human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749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Development. Journal of the European Economic Association. 2009;7(2-3):320-64.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750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Kant I. Critique of Practical Reason: Hackett Publishing; 2002.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751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Auchter AM, Hernandez Mejia M, Heyser CJ, Shilling PD, Jernigan TL, Brown SA, et al. A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752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description of the ABCD organizational structure and communication framework. Developmental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753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Cognitive Neuroscience. 2018;32:8-15.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754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Koffarnus MN, Bickel WK. A 5-trial adjusting delay discounting task: Accurate discount rates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755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in less than one minute. Experimental and Clinical Psychopharmacology. 2014;22(3):222-8.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756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Matusiewicz AK, Carter AE, Landes RD, Yi R. Statistical equivalence and test–retest reliability </w:t>
      </w:r>
    </w:p>
    <w:p>
      <w:pPr>
        <w:sectPr>
          <w:pgSz w:w="11905" w:h="16840"/>
          <w:pgMar w:top="980" w:right="1344" w:bottom="108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757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of delay and probability discounting using real and hypothetical rewards. Behavioural Processes.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758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2013;100:116-22.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759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Owens MM, Hahn S, Allgaier N, MacKillop J, Albaugh M, Yuan D, et al. One-year predictions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760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of delayed reward discounting in the adolescent brain cognitive development study. Experimental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761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and Clinical Psychopharmacology. 2021.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762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Burns P, Fay O, McCafferty MF, McKeever V, Atance C, McCormack T. Examining children's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763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ability to delay reward: Is the delay discounting task a suitable measure? Journal of Behavioral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764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Decision Making. 2020;33(2):208-19.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765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Myerson J, Green L, Warusawitharana M. AREA UNDER THE CURVE AS A MEASURE OF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766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DISCOUNTING. Journal of the Experimental Analysis of Behavior. 2001;76(2):235-43.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767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Karcher NR, Perino MT, Barch DM. An item response theory analysis of the Prodromal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768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Questionnaire-Brief Child Version: Developing a screening form that informs understanding of self-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769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reported psychotic-like experiences in childhood. Journal of Abnormal Psychology. 2020;129(3):293-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770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304.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771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Karcher NR, O’Brien KJ, Kandala S, Barch DM. Resting-State Functional Connectivity and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772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Psychotic-like Experiences in Childhood: Results From the Adolescent Brain Cognitive Development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773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Study. Biol Psychiatry. 2019;86(1):7-15.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774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Savage JE, Jansen PR, Stringer S, Watanabe K, Bryois J, de Leeuw CA, et al. Genome-wide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775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association meta-analysis in 269,867 individuals identifies new genetic and functional links to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776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intelligence. Nature Genetics. 2018;50(7):912-9.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777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Wray NR, Ripke S, Mattheisen M, Trzaskowski M, Byrne EM, Abdellaoui A, et al. Genome-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778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wide association analyses identify 44 risk variants and refine the genetic architecture of major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779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depression. Nature Genetics. 2018;50(5):668-81.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780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Nievergelt CM, Maihofer AX, Klengel T, Atkinson EG, Chen C-Y, Choi KW, et al. International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781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meta-analysis of PTSD genome-wide association studies identifies sex- and ancestry-specific genetic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782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risk loci. Nature Communications. 2019;10(1):4558.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783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Demontis D, Walters RK, Martin J, Mattheisen M, Als TD, Agerbo E, et al. Discovery of the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784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first genome-wide significant risk loci for attention deficit/hyperactivity disorder. Nature Genetics.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785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2019;51(1):63-75.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786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Arnold PD, Askland KD, Barlassina C, Bellodi L, Bienvenu OJ, Black D, et al. Revealing the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787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complex genetic architecture of obsessive–compulsive disorder using meta-analysis. Molecular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788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Psychiatry. 2018;23(5):1181-8.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789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Otowa T, Hek K, Lee M, Byrne EM, Mirza SS, Nivard MG, et al. Meta-analysis of genome-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790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wide association studies of anxiety disorders. Molecular Psychiatry. 2016;21(10):1391-9.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791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Howard DM, Adams MJ, Clarke T-K, Hafferty JD, Gibson J, Shirali M, et al. Genome-wide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792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meta-analysis of depression identifies 102 independent variants and highlights the importance of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793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the prefrontal brain regions. Nature Neuroscience. 2019;22(3):343-52. </w:t>
      </w:r>
    </w:p>
    <w:p>
      <w:pPr>
        <w:sectPr>
          <w:pgSz w:w="11905" w:h="16840"/>
          <w:pgMar w:top="980" w:right="1344" w:bottom="108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794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Stahl EA, Breen G, Forstner AJ, McQuillin A, Ripke S, Trubetskoy V, et al. Genome-wide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795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association study identifies 30 loci associated with bipolar disorder. Nature Genetics. 2019;51(5):793-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796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797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Grove J, Ripke S, Als TD, Mattheisen M, Walters RK, Won H, et al. Identification of common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798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genetic risk variants for autism spectrum disorder. Nature Genetics. 2019;51(3):431-44.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799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Ruderfer DM, Ripke S, McQuillin A, Boocock J, Stahl EA, Pavlides JMW, et al. Genomic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Dissection of Bipolar Disorder and Schizophrenia, Including 28 Subphenotypes. Cell.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2018;173(7):1705-15.e16.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Cross-Disorder Group of the Psychiatric Genomics Consortium. Identification of risk loci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with shared effects on five major psychiatric disorders: a genome-wide analysis. The Lancet.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2013;381(9875):1371-9.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Locke AE, Kahali B, Berndt SI, Justice AE, Pers TH, Day FR, et al. Genetic studies of body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mass index yield new insights for obesity biology. Nature. 2015;518(7538):197-206.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Nagel M, Jansen PR, Stringer S, Watanabe K, de Leeuw CA, Bryois J, et al. Meta-analysis of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genome-wide association studies for neuroticism in 449,484 individuals identifies novel genetic loci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809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and pathways. Nature Genetics. 2018;50(7):920-7.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810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Karlsson Linnér R, Biroli P, Kong E, Meddens SFW, Wedow R, Fontana MA, et al. Genome-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811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wide association analyses of risk tolerance and risky behaviors in over 1 million individuals identify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812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hundreds of loci and shared genetic influences. Nature Genetics. 2019;51(2):245-57.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813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Watson HJ, Yilmaz Z, Thornton LM, Hübel C, Coleman JRI, Gaspar HA, et al. Genome-wide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814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association study identifies eight risk loci and implicates metabo-psychiatric origins for anorexia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815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nervosa. Nature Genetics. 2019;51(8):1207-14.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816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Pasman JA, Verweij KJH, Gerring Z, Stringer S, Sanchez-Roige S, Treur JL, et al. GWAS of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817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lifetime cannabis use reveals new risk loci, genetic overlap with psychiatric traits, and a causal effect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818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of schizophrenia liability. Nature Neuroscience. 2018;21(9):1161-70.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819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Okbay A, Baselmans BML, De Neve J-E, Turley P, Nivard MG, Fontana MA, et al. Genetic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820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variants associated with subjective well-being, depressive symptoms, and neuroticism identified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821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through genome-wide analyses. Nature Genetics. 2016;48(6):624-33.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822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Jansen PR, Watanabe K, Stringer S, Skene N, Bryois J, Hammerschlag AR, et al. Genome-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823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wide analysis of insomnia in 1,331,010 individuals identifies new risk loci and functional pathways.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824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Nature Genetics. 2019;51(3):394-403.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825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Walters RK, Polimanti R, Johnson EC, McClintick JN, Adams MJ, Adkins AE, et al.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826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Transancestral GWAS of alcohol dependence reveals common genetic underpinnings with psychiatric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827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disorders. Nature Neuroscience. 2018;21(12):1656-69.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828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Ge T, Chen C-Y, Ni Y, Feng Y-CA, Smoller JW. Polygenic prediction via Bayesian regression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829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and continuous shrinkage priors. Nature Communications. 2019;10(1).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830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Garavan H, Bartsch H, Conway K, Decastro A, Goldstein RZ, Heeringa S, et al. Recruiting </w:t>
      </w:r>
    </w:p>
    <w:p>
      <w:pPr>
        <w:sectPr>
          <w:pgSz w:w="11905" w:h="16840"/>
          <w:pgMar w:top="980" w:right="1344" w:bottom="108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831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the ABCD sample: Design considerations and procedures. Developmental Cognitive Neuroscience.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832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2018;32:16-22.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833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Jovicich J, Czanner S, Greve D, Haley E, van der Kouwe A, Gollub R, et al. Reliability in multi-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834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site structural MRI studies: Effects of gradient non-linearity correction on phantom and human data.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835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NeuroImage. 2006;30(2):436-43.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836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Ségonne F, Dale AM, Busa E, Glessner M, Salat D, Hahn HK, Fischl B. A hybrid approach to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837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the skull stripping problem in MRI. NeuroImage. 2004;22(3):1060-75.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838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Dale AM, Fischl B, Sereno MI. Cortical Surface-Based Analysis: I. Segmentation and Surface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839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Reconstruction. NeuroImage. 1999;9(2):179-94.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840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Fischl B, Liu A, Dale AM. Automated manifold surgery: constructing geometrically accurate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841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and topologically correct models of the human cerebral cortex. IEEE Transactions on Medical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842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Imaging. 2001;20(1):70-80.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843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Fischl B, Sereno MI, Tootell RBH, Dale AM. High-resolution intersubject averaging and a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844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coordinate system for the cortical surface. Human Brain Mapping. 1999;8(4):272-84.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845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Ségonne F, Pacheco J, Fischl B. Geometrically Accurate Topology-Correction of Cortical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846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Surfaces Using Nonseparating Loops. IEEE Transactions on Medical Imaging. 2007;26(4):518-29.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847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Desikan RS, Ségonne F, Fischl B, Quinn BT, Dickerson BC, Blacker D, et al. An automated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848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labeling system for subdividing the human cerebral cortex on MRI scans into gyral based regions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849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of interest. NeuroImage. 2006;31(3):968-80.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850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Hausman JA. Specification Tests in Econometrics. Econometrica. 1978;46(6):1251. </w:t>
      </w:r>
    </w:p>
    <w:p>
      <w:pPr>
        <w:autoSpaceDN w:val="0"/>
        <w:tabs>
          <w:tab w:pos="690" w:val="left"/>
          <w:tab w:pos="1446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851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Staiger D, Stock JH. Instrumental Variables Regression with Weak Instruments. Econometrica.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852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1997;65(3):557.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853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Cunningham M, Galvez M, Aranda CL, Santos R, Wissoker DA, Oneto AD, et al. A Pilot Study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854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of Landlord Acceptance of Housing Choice Vouchers. Washington, DC: US Department of Housing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855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and Urban Development, Office of Policy Development and Research; 2018 August 20.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856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Freeman L, Li Y. Do Source of Income Anti-discrimination Laws Facilitate Access to Less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857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Disadvantaged Neighborhoods? Housing Studies. 2014;29(1):88-107.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858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Pollack CE, Blackford AL, Du S, Deluca S, Thornton RLJ, Herring B. Association of Receipt of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859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a Housing Voucher With Subsequent Hospital Utilization and Spending. JAMA. 2019;322(21):2115-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860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861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Kling JR, Liebman JB, Katz LF. Experimental Analysis of Neighborhood Effects. Econometrica.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862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2007;75(1):83-119.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863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Fox J, Kleiber C, Zeileis A. ivreg: Instrumental-Variables Regression by '2SLS', '2SM', or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864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'2SMM', with Diagnostics. R package version 0.6-3 ed2023.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865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Breiman L. Random Forests. Machine Learning. 2001;45(1):5-32.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866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Berman MG, Stier AJ, Akcelik GN. Environmental neuroscience. Am Psychol.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867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2019;74(9):1039-52. </w:t>
      </w:r>
    </w:p>
    <w:p>
      <w:pPr>
        <w:sectPr>
          <w:pgSz w:w="11905" w:h="16840"/>
          <w:pgMar w:top="980" w:right="1350" w:bottom="108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868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Tooley UA, Bassett DS, Mackey AP. Environmental influences on the pace of brain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869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development. Nature Reviews Neuroscience. 2021;22(6):372-84.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870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Friedman JH. Greedy Function Approximation: A Gradient Boosting Machine. The Annals of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871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Statistics. 2001;29(5):1189-232.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872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Sanchez-Roige S, Fontanillas P, Elson SL, Pandit A, Schmidt EM, Foerster JR, et al. Genome-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873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wide association study of delay discounting in 23,217 adult research participants of European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874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ancestry. Nature Neuroscience. 2018;21(1):16-8.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875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Newbury J, Arseneault L, Caspi A, Moffitt TE, Odgers CL, Fisher HL. Cumulative Effects of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876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Neighborhood Social Adversity and Personal Crime Victimization on Adolescent Psychotic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877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Experiences. Schizophrenia Bulletin. 2018;44(2):348-58.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878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Kent DM, Steyerberg E, van Klaveren D. Personalized evidence based medicine: predictive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879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approaches to heterogeneous treatment effects. BMJ. 2018;363:k4245.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880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Samuelson PA. A Note on Measurement of Utility. The Review of Economic Studies.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881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1937;4(2):155-61.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882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 Bruijn E-J, Antonides G. Poverty and economic decision making: a review of scarcity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883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theory. Theory and Decision. 2022;92(1):5-37.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884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Shah AK, Shafir E, Mullainathan S. Scarcity Frames Value. Psychol Sci. 2015;26(4):402-12.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885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Mani A, Mullainathan S, Shafir E, Zhao J. Poverty Impedes Cognitive Function. Science.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886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2013;341(6149):976-80.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887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Kidd C, Palmeri H, Aslin RN. Rational snacking: Young children’s decision-making on the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888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marshmallow task is moderated by beliefs about environmental reliability. Cognition.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889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2013;126(1):109-14.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890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Jachimowicz JM, Chafik S, Munrat S, Prabhu JC, Weber EU. Community trust reduces myopic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891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decisions of low-income individuals. Proceedings of the National Academy of Sciences.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892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2017;114(21):5401-6.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893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Putnam RD, Leonardi R, Nanetti RY. Making Democracy Work: Civic Traditions in Modern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894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Italy. Princeton: Princeton University Press; 1994.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895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Owens MM, Syan SK, Amlung M, Beach SRH, Sweet LH, MacKillop J. Functional and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896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structural neuroimaging studies of delayed reward discounting in addiction: A systematic review.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897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Psychological Bulletin. 2019;145(2):141-64.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898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Malanchini M, Engelhardt LE, Raffington LA, Sabhlok A, Grotzinger AD, Briley DA, et al.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899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Weak and uneven associations of home, neighborhood, and school environments with stress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900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hormone output across multiple timescales. Molecular Psychiatry. 2021;26(9):4823-38.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901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Cabib S, Puglisi-Allegra S. The mesoaccumbens dopamine in coping with stress.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902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Neuroscience &amp; Biobehavioral Reviews. 2012;36(1):79-89.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903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Oswald LM, Wong DF, McCaul M, Zhou Y, Kuwabara H, Choi L, et al. Relationships Among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904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Ventral Striatal Dopamine Release, Cortisol Secretion, and Subjective Responses to Amphetamine. </w:t>
      </w:r>
    </w:p>
    <w:p>
      <w:pPr>
        <w:sectPr>
          <w:pgSz w:w="11905" w:h="16840"/>
          <w:pgMar w:top="980" w:right="1348" w:bottom="108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905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Neuropsychopharmacology. 2005;30(4):821-32.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906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Douma EH, de Kloet ER. Stress-induced plasticity and functioning of ventral tegmental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907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dopamine neurons. Neuroscience &amp; Biobehavioral Reviews. 2020;108:48-77.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908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Mizoguchi A, Banno R, Sun R, Yaginuma H, Taki K, Kobayashi T, et al. Glucocorticoid receptor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909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signaling in ventral tegmental area neurons increases the rewarding value of a high-fat diet in mice.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910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Scientific Reports. 2021;11(1):12873.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911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Barrot M, Marinelli M, Abrous DN, Rougé-Pont F, Le Moal M, Piazza PV. The dopaminergic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912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hyper-responsiveness of the shell of the nucleus accumbens is hormone-dependent. European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913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Journal of Neuroscience. 2000;12(3):973-9.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914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DeRosse P, Barber AD. Overlapping Neurobiological Substrates for Early-Life Stress and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915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Resilience to Psychosis. Biological Psychiatry: Cognitive Neuroscience and Neuroimaging.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916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2021;6(2):144-53.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917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Howes OD, McCutcheon R, Owen MJ, Murray RM. The Role of Genes, Stress, and Dopamine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918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in the Development of Schizophrenia. Biol Psychiatry. 2017;81(1):9-20.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919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Tognin S, Pettersson-Yeo W, Valli I, Hutton C, Woolley J, Allen P, et al. Using Structural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920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Neuroimaging to Make Quantitative Predictions of Symptom Progression in Individuals at Ultra-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921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High Risk for Psychosis. Frontiers in Psychiatry. 2014;4.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922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Howes OD, Shatalina E. Integrating the Neurodevelopmental and Dopamine Hypotheses of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923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Schizophrenia and the Role of Cortical Excitation-Inhibition Balance. Biol Psychiatry. 2022;92(6):501-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924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925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Birn RM, Roeber BJ, Pollak SD. Early childhood stress exposure, reward pathways, and adult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926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decision making. Proceedings of the National Academy of Sciences. 2017;114(51):13549-54.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927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Murray RM, Bhavsar V, Tripoli G, Howes O. 30 Years on: How the Neurodevelopmental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928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Hypothesis of Schizophrenia Morphed Into the Developmental Risk Factor Model of Psychosis.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929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Schizophrenia Bulletin. 2017;43(6):1190-6.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930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Shaw P, Kabani NJ, Lerch JP, Eckstrand K, Lenroot R, Gogtay N, et al. Neurodevelopmental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931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Trajectories of the Human Cerebral Cortex. The Journal of Neuroscience. 2008;28(14):3586.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932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Reynolds LM, Flores C. Mesocorticolimbic Dopamine Pathways Across Adolescence: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933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Diversity in Development. Frontiers in Neural Circuits. 2021;15.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934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177.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Cannon TD, Chung Y, He G, Sun D, Jacobson A, van Erp TGM, et al. Progressive Reduction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935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in Cortical Thickness as Psychosis Develops: A Multisite Longitudinal Neuroimaging Study of Youth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936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at Elevated Clinical Risk. Biol Psychiatry. 2015;77(2):147-57.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937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178.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Douaud G, Mackay C, Andersson J, James S, Quested D, Ray MK, et al. Schizophrenia delays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938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and alters maturation of the brain in adolescence. Brain. 2009;132(9):2437-48.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939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179.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Hensch TK, Fagiolini M. Excitatory–inhibitory balance and critical period plasticity in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940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developing visual cortex.  Progress in Brain Research. 147: Elsevier; 2005. p. 115-24.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941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180.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Zeng J, Yan J, Cao H, Su Y, Song Y, Luo Y, Yang X. Neural substrates of reward anticipation </w:t>
      </w:r>
    </w:p>
    <w:p>
      <w:pPr>
        <w:sectPr>
          <w:pgSz w:w="11905" w:h="16840"/>
          <w:pgMar w:top="980" w:right="1348" w:bottom="108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942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and outcome in schizophrenia: a meta-analysis of fMRI findings in the monetary incentive delay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943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task. Transl Psychiatry. 2022;12(1):448.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944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181.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Howes OD, Kapur S. The Dopamine Hypothesis of Schizophrenia: Version III—The Final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945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Common Pathway. Schizophrenia Bulletin. 2009;35(3):549-62.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946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182.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Howes OD, Murray RM. Schizophrenia: an integrated sociodevelopmental-cognitive model.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947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The Lancet. 2014;383(9929):1677-87.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5" w:lineRule="auto" w:before="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948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183.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>Ruggeri K, Panin A, Vdovic M, Ve</w:t>
      </w:r>
      <w:r>
        <w:rPr>
          <w:rFonts w:ascii="Calibri" w:hAnsi="Calibri" w:eastAsia="Calibri"/>
          <w:b w:val="0"/>
          <w:i w:val="0"/>
          <w:color w:val="000000"/>
          <w:sz w:val="20"/>
        </w:rPr>
        <w:t>ć</w:t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kalov B, Abdul-Salaam N, Achterberg J, et al. The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7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949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globalizability of temporal discounting. Nature Human Behaviour. 2022.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950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184.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Compton WM, Dowling GJ, Garavan H. Ensuring the Best Use of Data: The Adolescent Brain </w:t>
      </w:r>
    </w:p>
    <w:p>
      <w:pPr>
        <w:autoSpaceDN w:val="0"/>
        <w:tabs>
          <w:tab w:pos="690" w:val="left"/>
        </w:tabs>
        <w:autoSpaceDE w:val="0"/>
        <w:widowControl/>
        <w:spacing w:line="180" w:lineRule="auto" w:before="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951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Cognitive Development Study. JAMA Pediatrics. 2019;173(9):809-10.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952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185.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Achenbach TM, Ruffle TM. The Child Behavior Checklist and related forms for assessing </w:t>
      </w:r>
    </w:p>
    <w:p>
      <w:pPr>
        <w:autoSpaceDN w:val="0"/>
        <w:tabs>
          <w:tab w:pos="690" w:val="left"/>
        </w:tabs>
        <w:autoSpaceDE w:val="0"/>
        <w:widowControl/>
        <w:spacing w:line="178" w:lineRule="auto" w:before="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953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behavioral/emotional problems and competencies. Pediatrics in Review. 2000;21(8):265-71. </w:t>
      </w:r>
    </w:p>
    <w:p>
      <w:pPr>
        <w:autoSpaceDN w:val="0"/>
        <w:tabs>
          <w:tab w:pos="690" w:val="left"/>
          <w:tab w:pos="1492" w:val="left"/>
        </w:tabs>
        <w:autoSpaceDE w:val="0"/>
        <w:widowControl/>
        <w:spacing w:line="180" w:lineRule="auto" w:before="9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954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186. </w:t>
      </w:r>
      <w:r>
        <w:tab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Zhang C, Ma Y. Ensemble Machine Learning: Methods and Applications: Springer; 2012. </w:t>
      </w:r>
    </w:p>
    <w:p>
      <w:pPr>
        <w:autoSpaceDN w:val="0"/>
        <w:autoSpaceDE w:val="0"/>
        <w:widowControl/>
        <w:spacing w:line="180" w:lineRule="auto" w:before="39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955 </w:t>
      </w:r>
    </w:p>
    <w:p>
      <w:pPr>
        <w:autoSpaceDN w:val="0"/>
        <w:autoSpaceDE w:val="0"/>
        <w:widowControl/>
        <w:spacing w:line="180" w:lineRule="auto" w:before="37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956 </w:t>
      </w:r>
    </w:p>
    <w:p>
      <w:pPr>
        <w:sectPr>
          <w:pgSz w:w="11905" w:h="16840"/>
          <w:pgMar w:top="980" w:right="1348" w:bottom="1440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tabs>
          <w:tab w:pos="69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957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Acknowledgements</w:t>
      </w:r>
    </w:p>
    <w:p>
      <w:pPr>
        <w:autoSpaceDN w:val="0"/>
        <w:tabs>
          <w:tab w:pos="1116" w:val="left"/>
        </w:tabs>
        <w:autoSpaceDE w:val="0"/>
        <w:widowControl/>
        <w:spacing w:line="185" w:lineRule="auto" w:before="51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958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work was supported by the National Research Foundation of Korea (NRF) grant funded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959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the Korea government (MSIT) (No. 2021R1C1C1006503, RS-2023-00266787, RS-2023-</w:t>
      </w:r>
    </w:p>
    <w:p>
      <w:pPr>
        <w:autoSpaceDN w:val="0"/>
        <w:tabs>
          <w:tab w:pos="690" w:val="left"/>
          <w:tab w:pos="2150" w:val="left"/>
          <w:tab w:pos="4546" w:val="left"/>
          <w:tab w:pos="6944" w:val="left"/>
          <w:tab w:pos="9338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960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00265406,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RS-2024-00421268,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RS-2024-00342301,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RS-2024-00435727,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NRF-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961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2021M3E5D2A01022515, and NRF-2021S1A3A2A02090597), by the Creative-Pioneering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962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Researchers Program through Seoul National University (No. 200-20240057, 200-20240135).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963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support was provided by the Institute of Information &amp; Communications Technology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964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Planning &amp; Evaluation (IITP) grant funded by the Korea government (MSIT) [No. RS-2021-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965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II211343, 2021-0-01343, Artificial Intelligence Graduate School Program, Seoul National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966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University] and by the Global Research Support Program in the Digital Field (RS-2024-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967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00421268). This work was also supported by the Artificial Intelligence Industrial Convergence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968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Cluster Development Project funded by the Ministry of Science and ICT and Gwangju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969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Metropolitan City, by the Korea Brain Research Institute (KBRI) basic research program (25-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970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BR-05-01), by the Korea Health Industry Development Institute (KHIDI) and the Ministry of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971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Health and Welfare, Republic of Korea (HR22C1605), and by the Korea Basic Science Institute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972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(National Research Facilities and Equipment Center) grant funded by the Ministry of Education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973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(RS-2024-00435727). We acknowledge the National Supercomputing Center for providing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974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supercomputing resources and technical support (KSC-2023-CRE-0568). An award for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975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computer time was provided by the U.S. Department of Energy’s (DOE) ASCR Leadership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976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Computing Challenge (ALCC). This research used resources of the National Energy Research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977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Scientific Computing Center (NERSC), a DOE Office of Science User Facility, under ALCC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978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award m4750-2024, and supporting resources at the Argonne and Oak Ridge Leadership </w:t>
      </w:r>
    </w:p>
    <w:p>
      <w:pPr>
        <w:autoSpaceDN w:val="0"/>
        <w:tabs>
          <w:tab w:pos="69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979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Computing Facilities, U.S. DOE Office of Science user facilities at Argonne National Laboratory </w:t>
      </w:r>
    </w:p>
    <w:p>
      <w:pPr>
        <w:autoSpaceDN w:val="0"/>
        <w:tabs>
          <w:tab w:pos="69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980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Oak Ridge National Laboratory.</w:t>
      </w:r>
    </w:p>
    <w:p>
      <w:pPr>
        <w:sectPr>
          <w:pgSz w:w="11905" w:h="16840"/>
          <w:pgMar w:top="960" w:right="1190" w:bottom="1044" w:left="7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tabs>
          <w:tab w:pos="69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981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Tables and Figures </w:t>
      </w:r>
    </w:p>
    <w:p>
      <w:pPr>
        <w:autoSpaceDN w:val="0"/>
        <w:tabs>
          <w:tab w:pos="692" w:val="left"/>
        </w:tabs>
        <w:autoSpaceDE w:val="0"/>
        <w:widowControl/>
        <w:spacing w:line="187" w:lineRule="auto" w:before="18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982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Table 1. Socioeconomic/demographic characteristics of the participants.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rounded to chronological month.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Race/Ethnicity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denote child’s self-</w:t>
      </w:r>
    </w:p>
    <w:p>
      <w:pPr>
        <w:autoSpaceDN w:val="0"/>
        <w:tabs>
          <w:tab w:pos="692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983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reported racial / ethnic identity.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Household Income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assessed as the total combined family income for the past 12 months.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Parental Education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measured </w:t>
      </w:r>
    </w:p>
    <w:p>
      <w:pPr>
        <w:autoSpaceDN w:val="0"/>
        <w:tabs>
          <w:tab w:pos="692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984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the highest grade or level of school completed or highest degree received.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Family History of Psychiatric Disorders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represents the proportion of first-degree </w:t>
      </w:r>
    </w:p>
    <w:p>
      <w:pPr>
        <w:autoSpaceDN w:val="0"/>
        <w:tabs>
          <w:tab w:pos="692" w:val="left"/>
        </w:tabs>
        <w:autoSpaceDE w:val="0"/>
        <w:widowControl/>
        <w:spacing w:line="187" w:lineRule="auto" w:before="260" w:after="422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985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relatives who experienced mental illness.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4.0" w:type="dxa"/>
      </w:tblPr>
      <w:tblGrid>
        <w:gridCol w:w="3160"/>
        <w:gridCol w:w="3160"/>
        <w:gridCol w:w="3160"/>
        <w:gridCol w:w="3160"/>
        <w:gridCol w:w="3160"/>
      </w:tblGrid>
      <w:tr>
        <w:trPr>
          <w:trHeight w:hRule="exact" w:val="548"/>
        </w:trPr>
        <w:tc>
          <w:tcPr>
            <w:tcW w:type="dxa" w:w="4020"/>
            <w:tcBorders>
              <w:start w:sz="17.600000000000023" w:val="single" w:color="#000000"/>
              <w:top w:sz="18.399999999999864" w:val="single" w:color="#000000"/>
              <w:end w:sz="18.399999999999864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Demographic Characteristics </w:t>
            </w:r>
          </w:p>
        </w:tc>
        <w:tc>
          <w:tcPr>
            <w:tcW w:type="dxa" w:w="3026"/>
            <w:tcBorders>
              <w:start w:sz="18.399999999999864" w:val="single" w:color="#000000"/>
              <w:top w:sz="18.399999999999864" w:val="single" w:color="#000000"/>
              <w:end w:sz="18.399999999999636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8"/>
            <w:tcBorders>
              <w:start w:sz="18.399999999999636" w:val="single" w:color="#000000"/>
              <w:top w:sz="18.399999999999864" w:val="single" w:color="#000000"/>
              <w:end w:sz="12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2078"/>
            <w:tcBorders>
              <w:start w:sz="12.0" w:val="single" w:color="#000000"/>
              <w:top w:sz="18.399999999999864" w:val="single" w:color="#000000"/>
              <w:end w:sz="12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Ratio (%) </w:t>
            </w:r>
          </w:p>
        </w:tc>
        <w:tc>
          <w:tcPr>
            <w:tcW w:type="dxa" w:w="2428"/>
            <w:tcBorders>
              <w:start w:sz="12.0" w:val="single" w:color="#000000"/>
              <w:top w:sz="18.399999999999864" w:val="single" w:color="#000000"/>
              <w:end w:sz="18.399999999999636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Mean (SD) </w:t>
            </w:r>
          </w:p>
        </w:tc>
      </w:tr>
      <w:tr>
        <w:trPr>
          <w:trHeight w:hRule="exact" w:val="368"/>
        </w:trPr>
        <w:tc>
          <w:tcPr>
            <w:tcW w:type="dxa" w:w="4020"/>
            <w:tcBorders>
              <w:start w:sz="17.600000000000023" w:val="single" w:color="#000000"/>
              <w:top w:sz="18.399999999999636" w:val="single" w:color="#000000"/>
              <w:end w:sz="18.399999999999864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Age </w:t>
            </w:r>
          </w:p>
        </w:tc>
        <w:tc>
          <w:tcPr>
            <w:tcW w:type="dxa" w:w="3026"/>
            <w:tcBorders>
              <w:start w:sz="18.399999999999864" w:val="single" w:color="#000000"/>
              <w:top w:sz="18.399999999999636" w:val="single" w:color="#000000"/>
              <w:end w:sz="18.39999999999963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8"/>
            <w:tcBorders>
              <w:start w:sz="18.399999999999636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2,135 </w:t>
            </w:r>
          </w:p>
        </w:tc>
        <w:tc>
          <w:tcPr>
            <w:tcW w:type="dxa" w:w="2078"/>
            <w:tcBorders>
              <w:start w:sz="4.0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8"/>
            <w:tcBorders>
              <w:start w:sz="4.0" w:val="single" w:color="#000000"/>
              <w:top w:sz="18.399999999999636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120.1541 (7.4658) </w:t>
            </w:r>
          </w:p>
        </w:tc>
      </w:tr>
      <w:tr>
        <w:trPr>
          <w:trHeight w:hRule="exact" w:val="358"/>
        </w:trPr>
        <w:tc>
          <w:tcPr>
            <w:tcW w:type="dxa" w:w="4020"/>
            <w:vMerge w:val="restart"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Sex </w:t>
            </w:r>
          </w:p>
        </w:tc>
        <w:tc>
          <w:tcPr>
            <w:tcW w:type="dxa" w:w="3026"/>
            <w:tcBorders>
              <w:start w:sz="18.399999999999864" w:val="single" w:color="#000000"/>
              <w:top w:sz="12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Male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1,150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53.86%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3160"/>
            <w:vMerge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Female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985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46.14%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4020"/>
            <w:vMerge w:val="restart"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Marital Status of the first caregiver </w:t>
            </w:r>
          </w:p>
        </w:tc>
        <w:tc>
          <w:tcPr>
            <w:tcW w:type="dxa" w:w="3026"/>
            <w:tcBorders>
              <w:start w:sz="18.399999999999864" w:val="single" w:color="#000000"/>
              <w:top w:sz="12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Married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1,636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76.63%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3160"/>
            <w:vMerge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Widowed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0.56%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3160"/>
            <w:vMerge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Divorced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193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9.04%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3160"/>
            <w:vMerge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Separated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2.9%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3160"/>
            <w:vMerge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Never Married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142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6.65%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3160"/>
            <w:vMerge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Living with Partner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4.22%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4"/>
        </w:trPr>
        <w:tc>
          <w:tcPr>
            <w:tcW w:type="dxa" w:w="4020"/>
            <w:vMerge w:val="restart"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Race/Ethnicity </w:t>
            </w:r>
          </w:p>
        </w:tc>
        <w:tc>
          <w:tcPr>
            <w:tcW w:type="dxa" w:w="3026"/>
            <w:tcBorders>
              <w:start w:sz="18.399999999999864" w:val="single" w:color="#000000"/>
              <w:top w:sz="12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White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1,400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65.57%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3160"/>
            <w:vMerge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Black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136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6.37%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3160"/>
            <w:vMerge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Hispanic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373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17.47%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0" w:h="11905"/>
          <w:pgMar w:top="960" w:right="736" w:bottom="1174" w:left="3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4.0" w:type="dxa"/>
      </w:tblPr>
      <w:tblGrid>
        <w:gridCol w:w="3021"/>
        <w:gridCol w:w="3021"/>
        <w:gridCol w:w="3021"/>
        <w:gridCol w:w="3021"/>
        <w:gridCol w:w="3021"/>
      </w:tblGrid>
      <w:tr>
        <w:trPr>
          <w:trHeight w:hRule="exact" w:val="346"/>
        </w:trPr>
        <w:tc>
          <w:tcPr>
            <w:tcW w:type="dxa" w:w="4020"/>
            <w:vMerge w:val="restart"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Asian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0.33%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302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12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Other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219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10.26%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4"/>
        </w:trPr>
        <w:tc>
          <w:tcPr>
            <w:tcW w:type="dxa" w:w="4020"/>
            <w:vMerge w:val="restart"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Parent’s Identity </w:t>
            </w:r>
          </w:p>
        </w:tc>
        <w:tc>
          <w:tcPr>
            <w:tcW w:type="dxa" w:w="3026"/>
            <w:tcBorders>
              <w:start w:sz="18.399999999999864" w:val="single" w:color="#000000"/>
              <w:top w:sz="12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Biological Mother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1,848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86.56%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3021"/>
            <w:vMerge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Biological Father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215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10.07%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3021"/>
            <w:vMerge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Adoptive Parent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1.83%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3021"/>
            <w:vMerge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Custodial Parent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0.56%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3021"/>
            <w:vMerge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</w:tcPr>
          <w:p/>
        </w:tc>
        <w:tc>
          <w:tcPr>
            <w:tcW w:type="dxa" w:w="30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Other </w:t>
            </w:r>
          </w:p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0.98% </w:t>
            </w:r>
          </w:p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4020"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Household Income </w:t>
            </w:r>
          </w:p>
        </w:tc>
        <w:tc>
          <w:tcPr>
            <w:tcW w:type="dxa" w:w="3026"/>
            <w:tcBorders>
              <w:start w:sz="18.399999999999864" w:val="single" w:color="#000000"/>
              <w:top w:sz="12.0" w:val="single" w:color="#000000"/>
              <w:end w:sz="18.39999999999963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2,135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$116,538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(70,669) </w:t>
            </w:r>
          </w:p>
        </w:tc>
      </w:tr>
      <w:tr>
        <w:trPr>
          <w:trHeight w:hRule="exact" w:val="365"/>
        </w:trPr>
        <w:tc>
          <w:tcPr>
            <w:tcW w:type="dxa" w:w="4020"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Parental Education </w:t>
            </w:r>
          </w:p>
        </w:tc>
        <w:tc>
          <w:tcPr>
            <w:tcW w:type="dxa" w:w="3026"/>
            <w:tcBorders>
              <w:start w:sz="18.399999999999864" w:val="single" w:color="#000000"/>
              <w:top w:sz="12.0" w:val="single" w:color="#000000"/>
              <w:end w:sz="18.399999999999636" w:val="single" w:color="#000000"/>
              <w:bottom w:sz="12.0000000000002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2,135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17.2838 (2.3046) </w:t>
            </w:r>
          </w:p>
        </w:tc>
      </w:tr>
      <w:tr>
        <w:trPr>
          <w:trHeight w:hRule="exact" w:val="371"/>
        </w:trPr>
        <w:tc>
          <w:tcPr>
            <w:tcW w:type="dxa" w:w="4020"/>
            <w:tcBorders>
              <w:start w:sz="17.600000000000023" w:val="single" w:color="#000000"/>
              <w:top w:sz="12.000000000000227" w:val="single" w:color="#000000"/>
              <w:end w:sz="18.399999999999864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BMI </w:t>
            </w:r>
          </w:p>
        </w:tc>
        <w:tc>
          <w:tcPr>
            <w:tcW w:type="dxa" w:w="3026"/>
            <w:tcBorders>
              <w:start w:sz="18.399999999999864" w:val="single" w:color="#000000"/>
              <w:top w:sz="12.000000000000227" w:val="single" w:color="#000000"/>
              <w:end w:sz="18.39999999999963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2,135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18.4298 (3.8572) </w:t>
            </w:r>
          </w:p>
        </w:tc>
      </w:tr>
      <w:tr>
        <w:trPr>
          <w:trHeight w:hRule="exact" w:val="364"/>
        </w:trPr>
        <w:tc>
          <w:tcPr>
            <w:tcW w:type="dxa" w:w="4020"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Parental Age </w:t>
            </w:r>
          </w:p>
        </w:tc>
        <w:tc>
          <w:tcPr>
            <w:tcW w:type="dxa" w:w="3026"/>
            <w:tcBorders>
              <w:start w:sz="18.399999999999864" w:val="single" w:color="#000000"/>
              <w:top w:sz="12.0" w:val="single" w:color="#000000"/>
              <w:end w:sz="18.39999999999963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2,135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40.8775 (6.3825) </w:t>
            </w:r>
          </w:p>
        </w:tc>
      </w:tr>
      <w:tr>
        <w:trPr>
          <w:trHeight w:hRule="exact" w:val="376"/>
        </w:trPr>
        <w:tc>
          <w:tcPr>
            <w:tcW w:type="dxa" w:w="4020"/>
            <w:tcBorders>
              <w:start w:sz="17.600000000000023" w:val="single" w:color="#000000"/>
              <w:top w:sz="12.0" w:val="single" w:color="#000000"/>
              <w:end w:sz="18.399999999999864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Family History of Psychiatric Disorders </w:t>
            </w:r>
          </w:p>
        </w:tc>
        <w:tc>
          <w:tcPr>
            <w:tcW w:type="dxa" w:w="3026"/>
            <w:tcBorders>
              <w:start w:sz="18.399999999999864" w:val="single" w:color="#000000"/>
              <w:top w:sz="12.0" w:val="single" w:color="#000000"/>
              <w:end w:sz="18.399999999999636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8"/>
            <w:tcBorders>
              <w:start w:sz="18.399999999999636" w:val="single" w:color="#000000"/>
              <w:top w:sz="4.0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2,135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8"/>
            <w:tcBorders>
              <w:start w:sz="4.0" w:val="single" w:color="#000000"/>
              <w:top w:sz="4.0" w:val="single" w:color="#000000"/>
              <w:end w:sz="18.399999999999636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0.0958 (0.1125) </w:t>
            </w:r>
          </w:p>
        </w:tc>
      </w:tr>
    </w:tbl>
    <w:p>
      <w:pPr>
        <w:autoSpaceDN w:val="0"/>
        <w:autoSpaceDE w:val="0"/>
        <w:widowControl/>
        <w:spacing w:line="180" w:lineRule="auto" w:before="1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986 </w:t>
      </w:r>
    </w:p>
    <w:p>
      <w:pPr>
        <w:autoSpaceDN w:val="0"/>
        <w:autoSpaceDE w:val="0"/>
        <w:widowControl/>
        <w:spacing w:line="180" w:lineRule="auto" w:before="43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987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988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989 </w:t>
      </w:r>
    </w:p>
    <w:p>
      <w:pPr>
        <w:autoSpaceDN w:val="0"/>
        <w:autoSpaceDE w:val="0"/>
        <w:widowControl/>
        <w:spacing w:line="180" w:lineRule="auto" w:before="43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990 </w:t>
      </w:r>
    </w:p>
    <w:p>
      <w:pPr>
        <w:sectPr>
          <w:pgSz w:w="16840" w:h="11905"/>
          <w:pgMar w:top="960" w:right="1430" w:bottom="1316" w:left="3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00"/>
        <w:gridCol w:w="7900"/>
      </w:tblGrid>
      <w:tr>
        <w:trPr>
          <w:trHeight w:hRule="exact" w:val="860"/>
        </w:trPr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991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992 </w:t>
            </w:r>
          </w:p>
        </w:tc>
        <w:tc>
          <w:tcPr>
            <w:tcW w:type="dxa" w:w="1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Table 2. Potential associations of neighborhood socioeconomic adversity with intertemporal valuation and PLEs.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Average relationships of ADI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delay discounting and PLEs in the IV Forest models are shown. All p-values were corrected for multiple comparison using false discovery rate.</w:t>
            </w:r>
          </w:p>
        </w:tc>
      </w:tr>
    </w:tbl>
    <w:p>
      <w:pPr>
        <w:autoSpaceDN w:val="0"/>
        <w:autoSpaceDE w:val="0"/>
        <w:widowControl/>
        <w:spacing w:line="3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4.0" w:type="dxa"/>
      </w:tblPr>
      <w:tblGrid>
        <w:gridCol w:w="2633"/>
        <w:gridCol w:w="2633"/>
        <w:gridCol w:w="2633"/>
        <w:gridCol w:w="2633"/>
        <w:gridCol w:w="2633"/>
        <w:gridCol w:w="2633"/>
      </w:tblGrid>
      <w:tr>
        <w:trPr>
          <w:trHeight w:hRule="exact" w:val="568"/>
        </w:trPr>
        <w:tc>
          <w:tcPr>
            <w:tcW w:type="dxa" w:w="2666"/>
            <w:tcBorders>
              <w:start w:sz="17.600000000000023" w:val="single" w:color="#000000"/>
              <w:top w:sz="12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94"/>
            <w:gridSpan w:val="5"/>
            <w:tcBorders>
              <w:start w:sz="17.600000000000136" w:val="single" w:color="#000000"/>
              <w:top w:sz="12.0" w:val="single" w:color="#000000"/>
              <w:end w:sz="18.399999999999636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IV Forests: Average Associations</w:t>
            </w:r>
          </w:p>
        </w:tc>
      </w:tr>
      <w:tr>
        <w:trPr>
          <w:trHeight w:hRule="exact" w:val="534"/>
        </w:trPr>
        <w:tc>
          <w:tcPr>
            <w:tcW w:type="dxa" w:w="26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4"/>
            <w:tcBorders>
              <w:start w:sz="17.600000000000136" w:val="single" w:color="#000000"/>
              <w:top w:sz="17.600000000000136" w:val="single" w:color="#000000"/>
              <w:end w:sz="4.0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Estimates </w:t>
            </w:r>
          </w:p>
        </w:tc>
        <w:tc>
          <w:tcPr>
            <w:tcW w:type="dxa" w:w="2094"/>
            <w:tcBorders>
              <w:start w:sz="4.0" w:val="single" w:color="#000000"/>
              <w:top w:sz="17.600000000000136" w:val="single" w:color="#000000"/>
              <w:end w:sz="4.0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Std. Error </w:t>
            </w:r>
          </w:p>
        </w:tc>
        <w:tc>
          <w:tcPr>
            <w:tcW w:type="dxa" w:w="2100"/>
            <w:tcBorders>
              <w:start w:sz="4.0" w:val="single" w:color="#000000"/>
              <w:top w:sz="17.600000000000136" w:val="single" w:color="#000000"/>
              <w:end w:sz="4.0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95% Lower CI </w:t>
            </w:r>
          </w:p>
        </w:tc>
        <w:tc>
          <w:tcPr>
            <w:tcW w:type="dxa" w:w="2100"/>
            <w:tcBorders>
              <w:start w:sz="4.0" w:val="single" w:color="#000000"/>
              <w:top w:sz="17.600000000000136" w:val="single" w:color="#000000"/>
              <w:end w:sz="4.0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95% Upper CI </w:t>
            </w:r>
          </w:p>
        </w:tc>
        <w:tc>
          <w:tcPr>
            <w:tcW w:type="dxa" w:w="2096"/>
            <w:tcBorders>
              <w:start w:sz="4.0" w:val="single" w:color="#000000"/>
              <w:top w:sz="17.600000000000136" w:val="single" w:color="#000000"/>
              <w:end w:sz="18.399999999999636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P-FDR </w:t>
            </w:r>
          </w:p>
        </w:tc>
      </w:tr>
      <w:tr>
        <w:trPr>
          <w:trHeight w:hRule="exact" w:val="514"/>
        </w:trPr>
        <w:tc>
          <w:tcPr>
            <w:tcW w:type="dxa" w:w="2666"/>
            <w:tcBorders>
              <w:start w:sz="17.600000000000023" w:val="single" w:color="#000000"/>
              <w:top w:sz="18.399999999999864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Delay Discounting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2104"/>
            <w:tcBorders>
              <w:start w:sz="17.600000000000136" w:val="single" w:color="#000000"/>
              <w:top w:sz="18.399999999999864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-1.730 </w:t>
            </w:r>
          </w:p>
        </w:tc>
        <w:tc>
          <w:tcPr>
            <w:tcW w:type="dxa" w:w="2094"/>
            <w:tcBorders>
              <w:start w:sz="4.0" w:val="single" w:color="#000000"/>
              <w:top w:sz="18.399999999999864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0.748 </w:t>
            </w:r>
          </w:p>
        </w:tc>
        <w:tc>
          <w:tcPr>
            <w:tcW w:type="dxa" w:w="2100"/>
            <w:tcBorders>
              <w:start w:sz="4.0" w:val="single" w:color="#000000"/>
              <w:top w:sz="18.399999999999864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-3.195 </w:t>
            </w:r>
          </w:p>
        </w:tc>
        <w:tc>
          <w:tcPr>
            <w:tcW w:type="dxa" w:w="2100"/>
            <w:tcBorders>
              <w:start w:sz="4.0" w:val="single" w:color="#000000"/>
              <w:top w:sz="18.399999999999864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-0.265 </w:t>
            </w:r>
          </w:p>
        </w:tc>
        <w:tc>
          <w:tcPr>
            <w:tcW w:type="dxa" w:w="2096"/>
            <w:tcBorders>
              <w:start w:sz="4.0" w:val="single" w:color="#000000"/>
              <w:top w:sz="18.399999999999864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0.048 </w:t>
            </w:r>
          </w:p>
        </w:tc>
      </w:tr>
      <w:tr>
        <w:trPr>
          <w:trHeight w:hRule="exact" w:val="500"/>
        </w:trPr>
        <w:tc>
          <w:tcPr>
            <w:tcW w:type="dxa" w:w="26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Distress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2104"/>
            <w:tcBorders>
              <w:start w:sz="17.6000000000001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1.872 </w:t>
            </w:r>
          </w:p>
        </w:tc>
        <w:tc>
          <w:tcPr>
            <w:tcW w:type="dxa" w:w="2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0.612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0.673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3.071 </w:t>
            </w:r>
          </w:p>
        </w:tc>
        <w:tc>
          <w:tcPr>
            <w:tcW w:type="dxa" w:w="2096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0.048 </w:t>
            </w:r>
          </w:p>
        </w:tc>
      </w:tr>
      <w:tr>
        <w:trPr>
          <w:trHeight w:hRule="exact" w:val="496"/>
        </w:trPr>
        <w:tc>
          <w:tcPr>
            <w:tcW w:type="dxa" w:w="26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Distress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(2-year follow-up) </w:t>
            </w:r>
          </w:p>
        </w:tc>
        <w:tc>
          <w:tcPr>
            <w:tcW w:type="dxa" w:w="2104"/>
            <w:tcBorders>
              <w:start w:sz="17.6000000000001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1.504 </w:t>
            </w:r>
          </w:p>
        </w:tc>
        <w:tc>
          <w:tcPr>
            <w:tcW w:type="dxa" w:w="2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0.592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0.345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2.664 </w:t>
            </w:r>
          </w:p>
        </w:tc>
        <w:tc>
          <w:tcPr>
            <w:tcW w:type="dxa" w:w="2096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0.039 </w:t>
            </w:r>
          </w:p>
        </w:tc>
      </w:tr>
      <w:tr>
        <w:trPr>
          <w:trHeight w:hRule="exact" w:val="500"/>
        </w:trPr>
        <w:tc>
          <w:tcPr>
            <w:tcW w:type="dxa" w:w="26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2104"/>
            <w:tcBorders>
              <w:start w:sz="17.6000000000001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5.970 </w:t>
            </w:r>
          </w:p>
        </w:tc>
        <w:tc>
          <w:tcPr>
            <w:tcW w:type="dxa" w:w="2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2.911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0.264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11.676 </w:t>
            </w:r>
          </w:p>
        </w:tc>
        <w:tc>
          <w:tcPr>
            <w:tcW w:type="dxa" w:w="2096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0.048 </w:t>
            </w:r>
          </w:p>
        </w:tc>
      </w:tr>
      <w:tr>
        <w:trPr>
          <w:trHeight w:hRule="exact" w:val="494"/>
        </w:trPr>
        <w:tc>
          <w:tcPr>
            <w:tcW w:type="dxa" w:w="26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(2-year follow-up) </w:t>
            </w:r>
          </w:p>
        </w:tc>
        <w:tc>
          <w:tcPr>
            <w:tcW w:type="dxa" w:w="2104"/>
            <w:tcBorders>
              <w:start w:sz="17.6000000000001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4.022 </w:t>
            </w:r>
          </w:p>
        </w:tc>
        <w:tc>
          <w:tcPr>
            <w:tcW w:type="dxa" w:w="2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1.987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0.127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7.917 </w:t>
            </w:r>
          </w:p>
        </w:tc>
        <w:tc>
          <w:tcPr>
            <w:tcW w:type="dxa" w:w="2096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0.048 </w:t>
            </w:r>
          </w:p>
        </w:tc>
      </w:tr>
      <w:tr>
        <w:trPr>
          <w:trHeight w:hRule="exact" w:val="500"/>
        </w:trPr>
        <w:tc>
          <w:tcPr>
            <w:tcW w:type="dxa" w:w="26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2104"/>
            <w:tcBorders>
              <w:start w:sz="17.6000000000001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3.761 </w:t>
            </w:r>
          </w:p>
        </w:tc>
        <w:tc>
          <w:tcPr>
            <w:tcW w:type="dxa" w:w="2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1.902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0.033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7.489 </w:t>
            </w:r>
          </w:p>
        </w:tc>
        <w:tc>
          <w:tcPr>
            <w:tcW w:type="dxa" w:w="2096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0.048 </w:t>
            </w:r>
          </w:p>
        </w:tc>
      </w:tr>
      <w:tr>
        <w:trPr>
          <w:trHeight w:hRule="exact" w:val="514"/>
        </w:trPr>
        <w:tc>
          <w:tcPr>
            <w:tcW w:type="dxa" w:w="26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(2-year follow-up) </w:t>
            </w:r>
          </w:p>
        </w:tc>
        <w:tc>
          <w:tcPr>
            <w:tcW w:type="dxa" w:w="2104"/>
            <w:tcBorders>
              <w:start w:sz="17.600000000000136" w:val="single" w:color="#000000"/>
              <w:top w:sz="4.0" w:val="single" w:color="#000000"/>
              <w:end w:sz="4.0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4.786 </w:t>
            </w:r>
          </w:p>
        </w:tc>
        <w:tc>
          <w:tcPr>
            <w:tcW w:type="dxa" w:w="2094"/>
            <w:tcBorders>
              <w:start w:sz="4.0" w:val="single" w:color="#000000"/>
              <w:top w:sz="4.0" w:val="single" w:color="#000000"/>
              <w:end w:sz="4.0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1.861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1.139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8.433 </w:t>
            </w:r>
          </w:p>
        </w:tc>
        <w:tc>
          <w:tcPr>
            <w:tcW w:type="dxa" w:w="2096"/>
            <w:tcBorders>
              <w:start w:sz="4.0" w:val="single" w:color="#000000"/>
              <w:top w:sz="4.0" w:val="single" w:color="#000000"/>
              <w:end w:sz="18.399999999999636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0.039 </w:t>
            </w:r>
          </w:p>
        </w:tc>
      </w:tr>
    </w:tbl>
    <w:p>
      <w:pPr>
        <w:autoSpaceDN w:val="0"/>
        <w:autoSpaceDE w:val="0"/>
        <w:widowControl/>
        <w:spacing w:line="180" w:lineRule="auto" w:before="4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993 </w:t>
      </w:r>
    </w:p>
    <w:p>
      <w:pPr>
        <w:autoSpaceDN w:val="0"/>
        <w:autoSpaceDE w:val="0"/>
        <w:widowControl/>
        <w:spacing w:line="180" w:lineRule="auto" w:before="5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994 </w:t>
      </w:r>
    </w:p>
    <w:p>
      <w:pPr>
        <w:sectPr>
          <w:pgSz w:w="16840" w:h="11905"/>
          <w:pgMar w:top="960" w:right="736" w:bottom="1440" w:left="3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995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Fig. 1. Study flow diagram.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figure illustrates the participant selection and data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996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processing in our study. We initially included 11,876 participants aged 9-12 years from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997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Adolescent Brain Cognitive Development (ABCD) Study, utilizing the release 4.0 dataset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998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encompasses baseline, 1-year follow-up, and 2-year follow-up observations. We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11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999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excluded observations not meeting the ABCD Study’s MRI quality control standards and those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1000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failing the Johnson-Bickel validation criterion for delay discounting. Participants with missing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1001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values in genotypes, MRI, NIH Toolbox Cognitive Battery, delay discounting, residential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1002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address, ADI, and PLEs were also removed. Subsequently, sociodemographic features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1003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underwent kNN imputation. This resulted in a final sample size of N=2,135. Using this cohort,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1004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our study first investigated the average associations of neighborhood socioeconomic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1005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deprivation with children’s intertemporal valuation of rewards and PLEs. We then explored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1006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 differences of these links in relation to children’s delay discounting behaviors and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1007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associated genetic and neural factors.</w:t>
      </w:r>
    </w:p>
    <w:p>
      <w:pPr>
        <w:sectPr>
          <w:pgSz w:w="11905" w:h="16840"/>
          <w:pgMar w:top="1020" w:right="1238" w:bottom="14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1008 </w:t>
      </w:r>
      <w:r>
        <w:tab/>
      </w:r>
      <w:r>
        <w:drawing>
          <wp:inline xmlns:a="http://schemas.openxmlformats.org/drawingml/2006/main" xmlns:pic="http://schemas.openxmlformats.org/drawingml/2006/picture">
            <wp:extent cx="5810250" cy="5361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361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0" w:lineRule="auto" w:before="21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1009 </w:t>
      </w:r>
    </w:p>
    <w:p>
      <w:pPr>
        <w:autoSpaceDN w:val="0"/>
        <w:autoSpaceDE w:val="0"/>
        <w:widowControl/>
        <w:spacing w:line="180" w:lineRule="auto" w:before="5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1010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1011 </w:t>
      </w:r>
    </w:p>
    <w:p>
      <w:pPr>
        <w:autoSpaceDN w:val="0"/>
        <w:autoSpaceDE w:val="0"/>
        <w:widowControl/>
        <w:spacing w:line="180" w:lineRule="auto" w:before="43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1012 </w:t>
      </w:r>
    </w:p>
    <w:p>
      <w:pPr>
        <w:autoSpaceDN w:val="0"/>
        <w:autoSpaceDE w:val="0"/>
        <w:widowControl/>
        <w:spacing w:line="180" w:lineRule="auto" w:before="43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1013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1014 </w:t>
      </w:r>
    </w:p>
    <w:p>
      <w:pPr>
        <w:sectPr>
          <w:pgSz w:w="11905" w:h="16840"/>
          <w:pgMar w:top="960" w:right="1296" w:bottom="1202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1015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Fig. 2. Illustration of instrumental variables analysis.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Graphical model of the IV method.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1016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panel depicts how the IV method is applied to address the potential biases from unobserved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1017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confounders U when analyzing the effects of exposure/treatment (ADI) on outcomes (delay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 and PLEs) within the observational context of the ABCD Study. Using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instrument (SOI laws), the IV method aims to partial out the influence of U on ADI, thus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1020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adjusting for potential confounding biases.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Graphical representation of the IV Forest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1021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algorithm. The IV Forest algorithm stratifies subjects in a manner that maximizes the individual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1022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differences in predicted conditional average effects. This panel illustrates the use of IV Forest to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1023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assess the association of ADI with delay discounting and PLEs, as well as to explore the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heterogeneous relationships of ADI with PLEs, factoring in individual variations in delay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 and its associated genetic and neural correlates. </w:t>
      </w:r>
    </w:p>
    <w:p>
      <w:pPr>
        <w:autoSpaceDN w:val="0"/>
        <w:autoSpaceDE w:val="0"/>
        <w:widowControl/>
        <w:spacing w:line="180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1026 </w:t>
      </w:r>
    </w:p>
    <w:p>
      <w:pPr>
        <w:sectPr>
          <w:pgSz w:w="11905" w:h="16840"/>
          <w:pgMar w:top="960" w:right="1190" w:bottom="14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1027 </w:t>
      </w:r>
      <w:r>
        <w:tab/>
      </w:r>
      <w:r>
        <w:drawing>
          <wp:inline xmlns:a="http://schemas.openxmlformats.org/drawingml/2006/main" xmlns:pic="http://schemas.openxmlformats.org/drawingml/2006/picture">
            <wp:extent cx="5835650" cy="7199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719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0" w:lineRule="auto" w:before="42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1028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1029 </w:t>
      </w:r>
    </w:p>
    <w:p>
      <w:pPr>
        <w:sectPr>
          <w:pgSz w:w="11905" w:h="16840"/>
          <w:pgMar w:top="960" w:right="1256" w:bottom="108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1030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Fig. 3. Delineation of heterogeneous associations by vulnerable/resilient subgroups.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1031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Heterogeneity in the associations of ADI with PLEs are shown as a bar plot, specifically focusing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1032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1-year follow-up distress score PLEs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and hallucinational score PLEs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These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1033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relationships are plotted across ten deciles, which are organized based on the relative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1034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vulnerability or resilience of the participants, with Q1 denoting the most vulnerable and Q10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1035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indicating the most resilient. Point estimates of the conditional average effect of each decile were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1036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derived via a doubly-robust estimation method within the IV Forest algorithm. 95% confidence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1037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intervals are depicted using error bars. </w:t>
      </w:r>
    </w:p>
    <w:p>
      <w:pPr>
        <w:autoSpaceDN w:val="0"/>
        <w:autoSpaceDE w:val="0"/>
        <w:widowControl/>
        <w:spacing w:line="178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1038 </w:t>
      </w:r>
    </w:p>
    <w:p>
      <w:pPr>
        <w:sectPr>
          <w:pgSz w:w="11905" w:h="16840"/>
          <w:pgMar w:top="960" w:right="1190" w:bottom="14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1039 </w:t>
      </w:r>
      <w:r>
        <w:tab/>
      </w:r>
      <w:r>
        <w:drawing>
          <wp:inline xmlns:a="http://schemas.openxmlformats.org/drawingml/2006/main" xmlns:pic="http://schemas.openxmlformats.org/drawingml/2006/picture">
            <wp:extent cx="5591809" cy="6969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809" cy="696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0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1040 </w:t>
      </w:r>
    </w:p>
    <w:p>
      <w:pPr>
        <w:autoSpaceDN w:val="0"/>
        <w:autoSpaceDE w:val="0"/>
        <w:widowControl/>
        <w:spacing w:line="180" w:lineRule="auto" w:before="43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1041 </w:t>
      </w:r>
    </w:p>
    <w:p>
      <w:pPr>
        <w:sectPr>
          <w:pgSz w:w="11905" w:h="16840"/>
          <w:pgMar w:top="960" w:right="1440" w:bottom="126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1042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Fig. 4. GPS for cognitive traits moderate environmental risk for PLEs.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Plotted is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1043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conditional average effects of neighborhood socioeconomic deprivation (ADI) on distress score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1044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PLEs at 1-year follow-up. The effect of ADI is shown as a function of an individual's genetic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1045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predisposition (GPS) for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cognitive performance,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IQ, and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education attainment,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1046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revealing complex patterns of gene-environment interaction. </w:t>
      </w:r>
    </w:p>
    <w:p>
      <w:pPr>
        <w:autoSpaceDN w:val="0"/>
        <w:autoSpaceDE w:val="0"/>
        <w:widowControl/>
        <w:spacing w:line="180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1047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1048 </w:t>
      </w:r>
    </w:p>
    <w:p>
      <w:pPr>
        <w:autoSpaceDN w:val="0"/>
        <w:autoSpaceDE w:val="0"/>
        <w:widowControl/>
        <w:spacing w:line="178" w:lineRule="auto" w:before="43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1049 </w:t>
      </w:r>
    </w:p>
    <w:p>
      <w:pPr>
        <w:autoSpaceDN w:val="0"/>
        <w:autoSpaceDE w:val="0"/>
        <w:widowControl/>
        <w:spacing w:line="180" w:lineRule="auto" w:before="43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1050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1051 </w:t>
      </w:r>
    </w:p>
    <w:p>
      <w:pPr>
        <w:autoSpaceDN w:val="0"/>
        <w:autoSpaceDE w:val="0"/>
        <w:widowControl/>
        <w:spacing w:line="180" w:lineRule="auto" w:before="43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1052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1053 </w:t>
      </w:r>
    </w:p>
    <w:p>
      <w:pPr>
        <w:autoSpaceDN w:val="0"/>
        <w:autoSpaceDE w:val="0"/>
        <w:widowControl/>
        <w:spacing w:line="178" w:lineRule="auto" w:before="43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1054 </w:t>
      </w:r>
    </w:p>
    <w:p>
      <w:pPr>
        <w:autoSpaceDN w:val="0"/>
        <w:autoSpaceDE w:val="0"/>
        <w:widowControl/>
        <w:spacing w:line="180" w:lineRule="auto" w:before="43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1055 </w:t>
      </w:r>
    </w:p>
    <w:p>
      <w:pPr>
        <w:sectPr>
          <w:pgSz w:w="11905" w:h="16840"/>
          <w:pgMar w:top="960" w:right="1190" w:bottom="14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12"/>
        <w:gridCol w:w="4912"/>
      </w:tblGrid>
      <w:tr>
        <w:trPr>
          <w:trHeight w:hRule="exact" w:val="1434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44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1056 </w:t>
            </w:r>
          </w:p>
          <w:p>
            <w:pPr>
              <w:autoSpaceDN w:val="0"/>
              <w:autoSpaceDE w:val="0"/>
              <w:widowControl/>
              <w:spacing w:line="343" w:lineRule="auto" w:before="608" w:after="0"/>
              <w:ind w:left="0" w:right="630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1057 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1058 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1059 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1060 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1061 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1062 </w:t>
            </w:r>
          </w:p>
          <w:p>
            <w:pPr>
              <w:autoSpaceDN w:val="0"/>
              <w:autoSpaceDE w:val="0"/>
              <w:widowControl/>
              <w:spacing w:line="336" w:lineRule="auto" w:before="4850" w:after="0"/>
              <w:ind w:left="0" w:right="630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1063 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1064 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1065 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1066 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1067 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1068 </w:t>
            </w:r>
          </w:p>
        </w:tc>
        <w:tc>
          <w:tcPr>
            <w:tcW w:type="dxa" w:w="8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5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542790" cy="5943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2790" cy="594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6" w:after="0"/>
              <w:ind w:left="69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527550" cy="3073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550" cy="307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622" w:right="1440" w:bottom="616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1069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Supplementary Information for </w:t>
      </w:r>
    </w:p>
    <w:p>
      <w:pPr>
        <w:autoSpaceDN w:val="0"/>
        <w:tabs>
          <w:tab w:pos="800" w:val="left"/>
          <w:tab w:pos="4266" w:val="left"/>
          <w:tab w:pos="6122" w:val="left"/>
          <w:tab w:pos="7856" w:val="left"/>
        </w:tabs>
        <w:autoSpaceDE w:val="0"/>
        <w:widowControl/>
        <w:spacing w:line="240" w:lineRule="auto" w:before="1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1070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 xml:space="preserve">Quasi-Experimental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 xml:space="preserve">Analysis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 xml:space="preserve">Reveals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 xml:space="preserve">Neuro-Genetic </w:t>
      </w:r>
    </w:p>
    <w:p>
      <w:pPr>
        <w:autoSpaceDN w:val="0"/>
        <w:tabs>
          <w:tab w:pos="800" w:val="left"/>
        </w:tabs>
        <w:autoSpaceDE w:val="0"/>
        <w:widowControl/>
        <w:spacing w:line="240" w:lineRule="auto" w:before="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1071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 xml:space="preserve">Susceptibility to Neighborhood Socioeconomic Adversity in </w:t>
      </w:r>
    </w:p>
    <w:p>
      <w:pPr>
        <w:autoSpaceDN w:val="0"/>
        <w:tabs>
          <w:tab w:pos="800" w:val="left"/>
        </w:tabs>
        <w:autoSpaceDE w:val="0"/>
        <w:widowControl/>
        <w:spacing w:line="240" w:lineRule="auto" w:before="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1072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 xml:space="preserve">Children’s Psychotic-Like Experiences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19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1073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Junghoon Justin Park, Minje Cho, Eunji Lee, Bo-Gyeom Kim, Gakyung Kim, Yoonjung Yoonie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1074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Joo, Jiook Cha*</w:t>
      </w:r>
    </w:p>
    <w:p>
      <w:pPr>
        <w:autoSpaceDN w:val="0"/>
        <w:autoSpaceDE w:val="0"/>
        <w:widowControl/>
        <w:spacing w:line="180" w:lineRule="auto" w:before="17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1075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1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1076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*Corresponding Author: Jiook Cha, PhD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18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1077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Email: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u w:val="single" w:color="0462c1"/>
          <w:rFonts w:ascii="Times New Roman" w:hAnsi="Times New Roman" w:eastAsia="Times New Roman"/>
          <w:b w:val="0"/>
          <w:i w:val="0"/>
          <w:color w:val="0563C1"/>
          <w:sz w:val="24"/>
        </w:rPr>
        <w:hyperlink r:id="rId9" w:history="1">
          <w:r>
            <w:rPr>
              <w:rStyle w:val="Hyperlink"/>
            </w:rPr>
            <w:t>connectome@snu.ac.kr</w:t>
          </w:r>
        </w:hyperlink>
      </w:r>
    </w:p>
    <w:p>
      <w:pPr>
        <w:autoSpaceDN w:val="0"/>
        <w:autoSpaceDE w:val="0"/>
        <w:widowControl/>
        <w:spacing w:line="180" w:lineRule="auto" w:before="156" w:after="13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1078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6"/>
        <w:gridCol w:w="2526"/>
        <w:gridCol w:w="2526"/>
        <w:gridCol w:w="2526"/>
      </w:tblGrid>
      <w:tr>
        <w:trPr>
          <w:trHeight w:hRule="exact" w:val="34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9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1079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4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8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32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Table of Contents </w:t>
            </w:r>
          </w:p>
        </w:tc>
      </w:tr>
      <w:tr>
        <w:trPr>
          <w:trHeight w:hRule="exact" w:val="114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82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1080 </w:t>
            </w:r>
          </w:p>
        </w:tc>
        <w:tc>
          <w:tcPr>
            <w:tcW w:type="dxa" w:w="2526"/>
            <w:vMerge/>
            <w:tcBorders/>
          </w:tcPr>
          <w:p/>
        </w:tc>
        <w:tc>
          <w:tcPr>
            <w:tcW w:type="dxa" w:w="5052"/>
            <w:gridSpan w:val="2"/>
            <w:vMerge/>
            <w:tcBorders/>
          </w:tcPr>
          <w:p/>
        </w:tc>
      </w:tr>
      <w:tr>
        <w:trPr>
          <w:trHeight w:hRule="exact" w:val="326"/>
        </w:trPr>
        <w:tc>
          <w:tcPr>
            <w:tcW w:type="dxa" w:w="2526"/>
            <w:vMerge/>
            <w:tcBorders/>
          </w:tcPr>
          <w:p/>
        </w:tc>
        <w:tc>
          <w:tcPr>
            <w:tcW w:type="dxa" w:w="2526"/>
            <w:vMerge/>
            <w:tcBorders/>
          </w:tcPr>
          <w:p/>
        </w:tc>
        <w:tc>
          <w:tcPr>
            <w:tcW w:type="dxa" w:w="8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</w:tr>
      <w:tr>
        <w:trPr>
          <w:trHeight w:hRule="exact" w:val="517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7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1081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36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Neighborhood Disadvantage </w:t>
            </w:r>
          </w:p>
        </w:tc>
      </w:tr>
      <w:tr>
        <w:trPr>
          <w:trHeight w:hRule="exact" w:val="42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1082 </w:t>
            </w:r>
          </w:p>
        </w:tc>
        <w:tc>
          <w:tcPr>
            <w:tcW w:type="dxa" w:w="2526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Delay Discounting </w:t>
            </w:r>
          </w:p>
        </w:tc>
      </w:tr>
      <w:tr>
        <w:trPr>
          <w:trHeight w:hRule="exact" w:val="42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8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1083 </w:t>
            </w:r>
          </w:p>
        </w:tc>
        <w:tc>
          <w:tcPr>
            <w:tcW w:type="dxa" w:w="2526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Psychotic-Like Experiences </w:t>
            </w:r>
          </w:p>
        </w:tc>
      </w:tr>
      <w:tr>
        <w:trPr>
          <w:trHeight w:hRule="exact" w:val="42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1084 </w:t>
            </w:r>
          </w:p>
        </w:tc>
        <w:tc>
          <w:tcPr>
            <w:tcW w:type="dxa" w:w="2526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Genome-wide Polygenic Scores </w:t>
            </w:r>
          </w:p>
        </w:tc>
      </w:tr>
      <w:tr>
        <w:trPr>
          <w:trHeight w:hRule="exact" w:val="425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8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1085 </w:t>
            </w:r>
          </w:p>
        </w:tc>
        <w:tc>
          <w:tcPr>
            <w:tcW w:type="dxa" w:w="2526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Anatomical Brain Imaging </w:t>
            </w:r>
          </w:p>
        </w:tc>
      </w:tr>
      <w:tr>
        <w:trPr>
          <w:trHeight w:hRule="exact" w:val="42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78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1086 </w:t>
            </w:r>
          </w:p>
        </w:tc>
        <w:tc>
          <w:tcPr>
            <w:tcW w:type="dxa" w:w="2526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Functional MRI: Monetary Incentive Delay Task </w:t>
            </w:r>
          </w:p>
        </w:tc>
      </w:tr>
      <w:tr>
        <w:trPr>
          <w:trHeight w:hRule="exact" w:val="33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1087 </w:t>
            </w:r>
          </w:p>
        </w:tc>
        <w:tc>
          <w:tcPr>
            <w:tcW w:type="dxa" w:w="2526"/>
            <w:vMerge/>
            <w:tcBorders/>
          </w:tcPr>
          <w:p/>
        </w:tc>
        <w:tc>
          <w:tcPr>
            <w:tcW w:type="dxa" w:w="8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Statistical Analyses </w:t>
            </w:r>
          </w:p>
        </w:tc>
      </w:tr>
      <w:tr>
        <w:trPr>
          <w:trHeight w:hRule="exact" w:val="51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66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1088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18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6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Instrumental Variable Regression </w:t>
            </w:r>
          </w:p>
        </w:tc>
      </w:tr>
      <w:tr>
        <w:trPr>
          <w:trHeight w:hRule="exact" w:val="425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1089 </w:t>
            </w:r>
          </w:p>
        </w:tc>
        <w:tc>
          <w:tcPr>
            <w:tcW w:type="dxa" w:w="2526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Causal Machine Learning </w:t>
            </w:r>
          </w:p>
        </w:tc>
      </w:tr>
      <w:tr>
        <w:trPr>
          <w:trHeight w:hRule="exact" w:val="321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2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1090 </w:t>
            </w:r>
          </w:p>
        </w:tc>
        <w:tc>
          <w:tcPr>
            <w:tcW w:type="dxa" w:w="2526"/>
            <w:vMerge/>
            <w:tcBorders/>
          </w:tcPr>
          <w:p/>
        </w:tc>
        <w:tc>
          <w:tcPr>
            <w:tcW w:type="dxa" w:w="8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Methodological Strengths of Causal Machine Learning </w:t>
            </w:r>
          </w:p>
        </w:tc>
      </w:tr>
      <w:tr>
        <w:trPr>
          <w:trHeight w:hRule="exact" w:val="44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8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1091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8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Supplementary Figures </w:t>
            </w:r>
          </w:p>
        </w:tc>
      </w:tr>
      <w:tr>
        <w:trPr>
          <w:trHeight w:hRule="exact" w:val="51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66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1092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18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6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Fig. S1. Assessment of the overlap assumption </w:t>
            </w:r>
          </w:p>
        </w:tc>
      </w:tr>
      <w:tr>
        <w:trPr>
          <w:trHeight w:hRule="exact" w:val="423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1093 </w:t>
            </w:r>
          </w:p>
        </w:tc>
        <w:tc>
          <w:tcPr>
            <w:tcW w:type="dxa" w:w="2526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Fig. S2. Beeswarm summary plots of SHAP values for Integrated model </w:t>
            </w:r>
          </w:p>
        </w:tc>
      </w:tr>
      <w:tr>
        <w:trPr>
          <w:trHeight w:hRule="exact" w:val="323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4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1094 </w:t>
            </w:r>
          </w:p>
        </w:tc>
        <w:tc>
          <w:tcPr>
            <w:tcW w:type="dxa" w:w="2526"/>
            <w:vMerge/>
            <w:tcBorders/>
          </w:tcPr>
          <w:p/>
        </w:tc>
        <w:tc>
          <w:tcPr>
            <w:tcW w:type="dxa" w:w="8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Extended Discussion: Social Science &amp; Economic Implications 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62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1095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8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Extended Discussion: Plausible Biological Mechanisms </w:t>
            </w:r>
          </w:p>
        </w:tc>
      </w:tr>
      <w:tr>
        <w:trPr>
          <w:trHeight w:hRule="exact" w:val="112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82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1096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8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5052"/>
            <w:gridSpan w:val="2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2526"/>
            <w:vMerge/>
            <w:tcBorders/>
          </w:tcPr>
          <w:p/>
        </w:tc>
        <w:tc>
          <w:tcPr>
            <w:tcW w:type="dxa" w:w="2526"/>
            <w:vMerge/>
            <w:tcBorders/>
          </w:tcPr>
          <w:p/>
        </w:tc>
        <w:tc>
          <w:tcPr>
            <w:tcW w:type="dxa" w:w="8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Table S1. Exploratory Analysis of Psychopathologies Associated with Delay Discounting </w:t>
            </w:r>
          </w:p>
        </w:tc>
      </w:tr>
      <w:tr>
        <w:trPr>
          <w:trHeight w:hRule="exact" w:val="41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66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1097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8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Table S2. E-values for Average Effects from IV Forest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960" w:right="1160" w:bottom="1234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56"/>
        <w:gridCol w:w="2456"/>
        <w:gridCol w:w="2456"/>
        <w:gridCol w:w="2456"/>
      </w:tblGrid>
      <w:tr>
        <w:trPr>
          <w:trHeight w:hRule="exact" w:val="25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1098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Table S3. Results of Linear IV Regression 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64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1099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8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Double ML models </w:t>
            </w:r>
          </w:p>
        </w:tc>
      </w:tr>
      <w:tr>
        <w:trPr>
          <w:trHeight w:hRule="exact" w:val="517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68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1100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98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Table S4.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Results of Double ML models </w:t>
            </w:r>
          </w:p>
        </w:tc>
      </w:tr>
      <w:tr>
        <w:trPr>
          <w:trHeight w:hRule="exact" w:val="323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68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1101 </w:t>
            </w:r>
          </w:p>
        </w:tc>
        <w:tc>
          <w:tcPr>
            <w:tcW w:type="dxa" w:w="2456"/>
            <w:vMerge/>
            <w:tcBorders/>
          </w:tcPr>
          <w:p/>
        </w:tc>
        <w:tc>
          <w:tcPr>
            <w:tcW w:type="dxa" w:w="7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Random Forest-based Feature Selection using Boruta algorithm </w:t>
            </w:r>
          </w:p>
        </w:tc>
      </w:tr>
      <w:tr>
        <w:trPr>
          <w:trHeight w:hRule="exact" w:val="52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78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1102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18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Table S5. Results of Feature Selection using Boruta </w:t>
            </w:r>
          </w:p>
        </w:tc>
      </w:tr>
      <w:tr>
        <w:trPr>
          <w:trHeight w:hRule="exact" w:val="33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4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1103 </w:t>
            </w:r>
          </w:p>
        </w:tc>
        <w:tc>
          <w:tcPr>
            <w:tcW w:type="dxa" w:w="2456"/>
            <w:vMerge/>
            <w:tcBorders/>
          </w:tcPr>
          <w:p/>
        </w:tc>
        <w:tc>
          <w:tcPr>
            <w:tcW w:type="dxa" w:w="7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Table S6. Evaluation of Heterogeneous Associations 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64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1104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Table S7. Comparison of the Sample and National Demographics 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162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1105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8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Adjusting for Sample Selection Bias with Inverse Probability Weighting </w:t>
            </w:r>
          </w:p>
        </w:tc>
      </w:tr>
      <w:tr>
        <w:trPr>
          <w:trHeight w:hRule="exact" w:val="52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8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1106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4" w:after="0"/>
              <w:ind w:left="0" w:right="15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</w:t>
            </w:r>
          </w:p>
        </w:tc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Table S8. Results of Sensitivity Analysis with Inverse Probability Weighting </w:t>
            </w:r>
          </w:p>
        </w:tc>
      </w:tr>
      <w:tr>
        <w:trPr>
          <w:trHeight w:hRule="exact" w:val="40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76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1107 </w:t>
            </w:r>
          </w:p>
        </w:tc>
        <w:tc>
          <w:tcPr>
            <w:tcW w:type="dxa" w:w="2456"/>
            <w:vMerge/>
            <w:tcBorders/>
          </w:tcPr>
          <w:p/>
        </w:tc>
        <w:tc>
          <w:tcPr>
            <w:tcW w:type="dxa" w:w="7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Supplementary References </w:t>
            </w:r>
          </w:p>
        </w:tc>
      </w:tr>
    </w:tbl>
    <w:p>
      <w:pPr>
        <w:autoSpaceDN w:val="0"/>
        <w:autoSpaceDE w:val="0"/>
        <w:widowControl/>
        <w:spacing w:line="178" w:lineRule="auto" w:before="8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1108 </w:t>
      </w:r>
    </w:p>
    <w:p>
      <w:pPr>
        <w:autoSpaceDN w:val="0"/>
        <w:autoSpaceDE w:val="0"/>
        <w:widowControl/>
        <w:spacing w:line="180" w:lineRule="auto" w:before="44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1109 </w:t>
      </w:r>
    </w:p>
    <w:p>
      <w:pPr>
        <w:sectPr>
          <w:pgSz w:w="11905" w:h="16840"/>
          <w:pgMar w:top="952" w:right="1440" w:bottom="14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1110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Supplementary Information </w:t>
      </w:r>
    </w:p>
    <w:p>
      <w:pPr>
        <w:autoSpaceDN w:val="0"/>
        <w:tabs>
          <w:tab w:pos="800" w:val="left"/>
        </w:tabs>
        <w:autoSpaceDE w:val="0"/>
        <w:widowControl/>
        <w:spacing w:line="216" w:lineRule="auto" w:before="51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1111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Data</w:t>
      </w:r>
    </w:p>
    <w:p>
      <w:pPr>
        <w:autoSpaceDN w:val="0"/>
        <w:tabs>
          <w:tab w:pos="1402" w:val="left"/>
        </w:tabs>
        <w:autoSpaceDE w:val="0"/>
        <w:widowControl/>
        <w:spacing w:line="187" w:lineRule="auto" w:before="18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1112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Neighborhood Disadvantage </w:t>
      </w:r>
    </w:p>
    <w:p>
      <w:pPr>
        <w:autoSpaceDN w:val="0"/>
        <w:tabs>
          <w:tab w:pos="1226" w:val="left"/>
        </w:tabs>
        <w:autoSpaceDE w:val="0"/>
        <w:widowControl/>
        <w:spacing w:line="185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Neighborhood disadvantage was measured with Residential History Derived Scores based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1114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the Census tracts of each respondent’s primary addresses by the ABCD team. Consistent with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prior research (2, 45), we chose national percentile scores of the Area Deprivation Index (ADI)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1116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baseline year, calculated from the 2011~2015 American Community Survey 5-year summary.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1117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has 17 sub-scores regarding various socioeconomic factors such as median household income,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income disparity, percentage of population aged more than 25 years or more with at least a high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school diploma, and percentage of single-parent households with children aged less than 18 years,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1120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etc. Higher values of the ADI indicate greater neighborhood disadvantage. </w:t>
      </w:r>
    </w:p>
    <w:p>
      <w:pPr>
        <w:autoSpaceDN w:val="0"/>
        <w:autoSpaceDE w:val="0"/>
        <w:widowControl/>
        <w:spacing w:line="180" w:lineRule="auto" w:before="40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1121 </w:t>
      </w:r>
    </w:p>
    <w:p>
      <w:pPr>
        <w:autoSpaceDN w:val="0"/>
        <w:tabs>
          <w:tab w:pos="1402" w:val="left"/>
        </w:tabs>
        <w:autoSpaceDE w:val="0"/>
        <w:widowControl/>
        <w:spacing w:line="187" w:lineRule="auto" w:before="40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1122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Delay Discounting </w:t>
      </w:r>
    </w:p>
    <w:p>
      <w:pPr>
        <w:autoSpaceDN w:val="0"/>
        <w:tabs>
          <w:tab w:pos="1226" w:val="left"/>
        </w:tabs>
        <w:autoSpaceDE w:val="0"/>
        <w:widowControl/>
        <w:spacing w:line="185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1123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Delay discounting was measured by the adjusting delay discounting task in the 1-year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follow-up ABCD data (51, 106). Each child was asked to make choices between a small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immediate hypothetical reward or a larger hypothetical $100 delayed reward at multiple future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1126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points (6h, one day, one week, one month, three months, one year, and five years). By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1127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increasing or decreasing the smaller immediate reward depending on the child’s response,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1128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task records the indifference point (i.e., the small immediate amount deemed to have the same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subjective value as the $100 delayed reward) at each of the seven delay intervals. Test-retest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1130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reliability of this delay discounting measure has been validated (107, 108). Studies show that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1131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preadolescent children are capable of comprehending the delay discounting task and show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1132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similar patterns of discounting as adults (109). </w:t>
      </w:r>
    </w:p>
    <w:p>
      <w:pPr>
        <w:sectPr>
          <w:pgSz w:w="11905" w:h="16840"/>
          <w:pgMar w:top="960" w:right="1138" w:bottom="1028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1226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1133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avoid methodological problems regarding mathematical discounting models (hyperbolic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1134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vs. exponential) and positively skewed parameters of discounting functions (108, 110), we used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1135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area under the curve, a model-free measure of delay discounting (110). The area under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1136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curve measure of delay discounting ranges from 0 to 1, with lower values indicating steeper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1137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 and higher impulsivity. </w:t>
      </w:r>
    </w:p>
    <w:p>
      <w:pPr>
        <w:autoSpaceDN w:val="0"/>
        <w:autoSpaceDE w:val="0"/>
        <w:widowControl/>
        <w:spacing w:line="180" w:lineRule="auto" w:before="40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1138 </w:t>
      </w:r>
    </w:p>
    <w:p>
      <w:pPr>
        <w:autoSpaceDN w:val="0"/>
        <w:tabs>
          <w:tab w:pos="1402" w:val="left"/>
        </w:tabs>
        <w:autoSpaceDE w:val="0"/>
        <w:widowControl/>
        <w:spacing w:line="187" w:lineRule="auto" w:before="41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1139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Psychotic-Like Experiences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1140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First and second-year follow-up observations of psychotic-like experiences (PLEs) were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1141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measured using the Prodromal Questionnaire-Brief Child Version (PQ-BC; child-reported). PQ-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1142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BC has a 21-item scale validated for use with a non-clinical population of children aged 9-10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1143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years (53, 111). In line with the previous research (2, 53, 54, 111), we computed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Distress 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1144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indicating the levels of total distress from psychotic-like symptoms. Distress Score is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1145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weighted sum of responses with the levels of distress, ranging from 0 to 126. Additionally, to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1146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whether the heterogeneous associations of neighborhood adversity differ among psychotic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1147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symptoms, Distress Score was divided into two separate scores: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Delusional 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1148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Hallucinational Score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(1, 112). A higher value indicates greater severity of PLEs. </w:t>
      </w:r>
    </w:p>
    <w:p>
      <w:pPr>
        <w:autoSpaceDN w:val="0"/>
        <w:autoSpaceDE w:val="0"/>
        <w:widowControl/>
        <w:spacing w:line="180" w:lineRule="auto" w:before="40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1149 </w:t>
      </w:r>
    </w:p>
    <w:p>
      <w:pPr>
        <w:autoSpaceDN w:val="0"/>
        <w:tabs>
          <w:tab w:pos="1402" w:val="left"/>
        </w:tabs>
        <w:autoSpaceDE w:val="0"/>
        <w:widowControl/>
        <w:spacing w:line="187" w:lineRule="auto" w:before="40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1150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Genome-wide Polygenic Scores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1151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Children’s genetic predispositions were assessed with genome-wide polygenic scores (GPS).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1152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Summary statistics from genome-wide association studies were used to generate GPS of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1153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cognitive intelligence (cognitive performance (96), education attainment (96), IQ (113)),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1154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psychiatric disorders (major depressive disorder (114), post-traumatic stress disorder (115),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1155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attention-deficit/hyperactivity disorder (116), obsessive-compulsive disorder (117), anxiety </w:t>
      </w:r>
    </w:p>
    <w:p>
      <w:pPr>
        <w:sectPr>
          <w:pgSz w:w="11905" w:h="16840"/>
          <w:pgMar w:top="960" w:right="1136" w:bottom="1042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1156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(118), depression (119), bipolar disorder (120), autism spectrum disorder (121), schizophrenia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1157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(122), cross disorder (123)), and health and behavioral traits (BMI (124), neuroticism (125),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1158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worrying (125), risk tolerance (126), automobile speeding propensity (126), eating disorder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1159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(127), drinking (126), smoking (126), cannabis use (128), general happiness (129), snoring (130),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1160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insomnia (130), alcohol dependence (131)). PRS-CSx, a high-dimensional Bayesian regression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1161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framework that places continuous shrinkage prior on single nucleotide polymorphisms effect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1162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sizes (132), was applied to enhance cross-population prediction. This method has consistently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1163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shown superior performance compared to other methods across a wide range of genetic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1164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architectures in simulation and real data analyses (132). Hyperparameter optimization for the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1165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GPSs was conducted using a held-out validation set of 1,579 unrelated participants. Adjustments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1166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population stratification were performed based on the first ten ancestrally informative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1167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principal components to account for potential confounding effects. </w:t>
      </w:r>
    </w:p>
    <w:p>
      <w:pPr>
        <w:autoSpaceDN w:val="0"/>
        <w:autoSpaceDE w:val="0"/>
        <w:widowControl/>
        <w:spacing w:line="180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1168 </w:t>
      </w:r>
    </w:p>
    <w:p>
      <w:pPr>
        <w:autoSpaceDN w:val="0"/>
        <w:tabs>
          <w:tab w:pos="1402" w:val="left"/>
        </w:tabs>
        <w:autoSpaceDE w:val="0"/>
        <w:widowControl/>
        <w:spacing w:line="187" w:lineRule="auto" w:before="43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1169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Anatomical Brain Imaging: T1/T2, Freesurfer 6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1170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Baseline year T1-weighted (T1w) 3D structural MRI acquired in the ABCD study were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1171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processed following established protocols (50, 133): To maximize geometric accuracy and image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1172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intensity reproducibility, gradient nonlinearity distortion was corrected (134). After correcting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1173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intensity nonuniformity using tissue segmentation and spatial smoothing, images were resampled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1174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1 mm isotropic voxels. We used Freesurfer v6.0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(</w:t>
          </w:r>
        </w:hyperlink>
      </w:r>
      <w:r>
        <w:rPr>
          <w:u w:val="single" w:color="0462c1"/>
          <w:rFonts w:ascii="Times New Roman" w:hAnsi="Times New Roman" w:eastAsia="Times New Roman"/>
          <w:b w:val="0"/>
          <w:i w:val="0"/>
          <w:color w:val="0563C1"/>
          <w:sz w:val="24"/>
        </w:rPr>
        <w:hyperlink r:id="rId16" w:history="1">
          <w:r>
            <w:rPr>
              <w:rStyle w:val="Hyperlink"/>
            </w:rPr>
            <w:t>https://surfer.nmr.mgh.harvard.edu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)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1175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procedures: cortical surface followed by skull-stripping (135), white matter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1176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segmentation, and mesh creation (136), correction of topological defects, surface optimization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1177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(137), and nonlinear registration to a spherical surface-based atlas (138, 139). Using Desikan–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1178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Killiany atlas (140), a standard atlas for Freesurfer and ABCD study, we extracted 399 brain ROI </w:t>
      </w:r>
    </w:p>
    <w:p>
      <w:pPr>
        <w:sectPr>
          <w:pgSz w:w="11905" w:h="16840"/>
          <w:pgMar w:top="960" w:right="1130" w:bottom="12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1179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measures, including volumes, surface area, thickness, mean curvature, sulcal depth, and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1180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gyrification. </w:t>
      </w:r>
    </w:p>
    <w:p>
      <w:pPr>
        <w:autoSpaceDN w:val="0"/>
        <w:autoSpaceDE w:val="0"/>
        <w:widowControl/>
        <w:spacing w:line="180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1181 </w:t>
      </w:r>
    </w:p>
    <w:p>
      <w:pPr>
        <w:autoSpaceDN w:val="0"/>
        <w:tabs>
          <w:tab w:pos="1402" w:val="left"/>
        </w:tabs>
        <w:autoSpaceDE w:val="0"/>
        <w:widowControl/>
        <w:spacing w:line="187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1182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Functional MRI (fMRI): Monetary Incentive Delay (MID) task</w:t>
      </w:r>
    </w:p>
    <w:p>
      <w:pPr>
        <w:autoSpaceDN w:val="0"/>
        <w:tabs>
          <w:tab w:pos="1402" w:val="left"/>
        </w:tabs>
        <w:autoSpaceDE w:val="0"/>
        <w:widowControl/>
        <w:spacing w:line="187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1183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MID task was used measure the neural activation during anticipation and receipt of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1184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monetary gains and losses. In each trial, participants were shown a graphical cue of the 5 possible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1185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incentive types: large reward ($5), small reward ($0.20), large loss (-$5), small loss (-$0.20), or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1186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neutral ($0). The incentive cue is presented for 2,000 ms, followed by a jittered anticipatory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1187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delay (1,500–4,000 ms). Subsequently, a target to which participants respond to gain or avoid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1188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losing money was shown (150–500 ms), and feedback of their performance was provided (2,000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1189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ms). A total of 40 reward, 40 loss, and 20 neutral trials were presented in pseudo-random order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1190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across the two task runs. Task parameters was dynamically manipulated for each subject to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1191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maintain 60% success rate (50). We used baseline year observations of average beta weights of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1192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MID task fMRI with Desikan-Killiany parcellations (140). </w:t>
      </w:r>
    </w:p>
    <w:p>
      <w:pPr>
        <w:autoSpaceDN w:val="0"/>
        <w:autoSpaceDE w:val="0"/>
        <w:widowControl/>
        <w:spacing w:line="180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1193 </w:t>
      </w:r>
    </w:p>
    <w:p>
      <w:pPr>
        <w:autoSpaceDN w:val="0"/>
        <w:tabs>
          <w:tab w:pos="800" w:val="left"/>
        </w:tabs>
        <w:autoSpaceDE w:val="0"/>
        <w:widowControl/>
        <w:spacing w:line="216" w:lineRule="auto" w:before="43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1194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Statistical Analyses</w:t>
      </w:r>
    </w:p>
    <w:p>
      <w:pPr>
        <w:autoSpaceDN w:val="0"/>
        <w:tabs>
          <w:tab w:pos="796" w:val="left"/>
        </w:tabs>
        <w:autoSpaceDE w:val="0"/>
        <w:widowControl/>
        <w:spacing w:line="187" w:lineRule="auto" w:before="4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1195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Instrumental Variable Regression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1196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IV method controls unobserved confounding bias by utilizing an instrumental variable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1197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Z which affects the exposure variable of interest X but has no direct effect on the outcome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1198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variable Y (60). To estimate the associations of neighborhood adversity (ADI) with our outcomes,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1199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must address the endogeneity of ADI, which arises from its correlation with unobserved </w:t>
      </w:r>
    </w:p>
    <w:p>
      <w:pPr>
        <w:autoSpaceDN w:val="0"/>
        <w:tabs>
          <w:tab w:pos="800" w:val="left"/>
        </w:tabs>
        <w:autoSpaceDE w:val="0"/>
        <w:widowControl/>
        <w:spacing w:line="180" w:lineRule="auto" w:before="31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1200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confounders. Hausman test (141) results confirmed this endogeneity (all p</w:t>
      </w:r>
      <w:r>
        <w:rPr>
          <w:rFonts w:ascii="Malgun Gothic" w:hAnsi="Malgun Gothic" w:eastAsia="Malgun Gothic"/>
          <w:b w:val="0"/>
          <w:i w:val="0"/>
          <w:color w:val="000000"/>
          <w:sz w:val="24"/>
        </w:rPr>
        <w:t>≤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0.0158). This </w:t>
      </w:r>
    </w:p>
    <w:p>
      <w:pPr>
        <w:sectPr>
          <w:pgSz w:w="11905" w:h="16840"/>
          <w:pgMar w:top="960" w:right="1130" w:bottom="1092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1201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underscores the necessity of employing IV regression approach to control for the significant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1202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confounding bias and to test the potential relationship of neighborhood disadvantage with delay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1203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 and PLEs.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1204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our study, the instrumental variable Z for the exposure of ADI was the presence of state-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1205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level source of income (SOI) laws at baseline assessment, which prohibit income discrimination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1206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housing market. SOI laws are designed to ensure that landlords cannot refuse housing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1207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vouchers, which are provided to low-income families to assist in securing quality housing. Such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1208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legislation is critical because, despite the intention behind vouchers, many landlords prefer direct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1209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cash payments and might otherwise decline voucher-based payments. Thus, families residing in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1210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states with SOI laws are more likely to have better residential environments (i.e., lower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1211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neighborhood socioeconomic adversity).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1212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IV method requires the instrument Z to satisfies two core assumptions. First,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instrument must be strongly correlated with the exposure variable X. F-statistic above ten is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1214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considered a strong instruments (142). The F-statistic for each model was F=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34.031 (p&lt;0.0001),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suggesting that the instrument SOI laws is strongly associated with ADI.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1216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Second, the instrument must affect the outcome Y through its effect on the exposure X. We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1217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assume this exclusion restriction: SOI laws affect outcomes only through ADI. While we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recognize that this assumption cannot be directly tested from data and may be imperfect, its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plausibility is typically drawn from prior research and theoretical underpinnings (60). Reports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1220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the US Department of Housing and Urban Development indicate that SOI laws increase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1221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landlords’ acceptance of housing vouchers by 20.2%p to 59.3%p (143). Research links SOI laws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1222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significant reductions in neighborhood poverty (144) and improved health outcomes in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1223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children, including lower hospitalization rates, less impulsive consumption (145), and </w:t>
      </w:r>
    </w:p>
    <w:p>
      <w:pPr>
        <w:sectPr>
          <w:pgSz w:w="11905" w:h="16840"/>
          <w:pgMar w:top="960" w:right="1190" w:bottom="12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substantially better mental health (146). Taken together, the presence of SOI laws may affect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cognitive and psychiatric outcomes—particularly delay discounting and PLEs—solely by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1226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enhancing neighborhood environment, conditional on the individual sociodemographic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1227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characteristics such as household income, parental education, and race/ethnicity. This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1228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relationship supports the plausibility of the exclusion restriction, crucial for the validity of our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 method. </w:t>
      </w:r>
    </w:p>
    <w:p>
      <w:pPr>
        <w:autoSpaceDN w:val="0"/>
        <w:tabs>
          <w:tab w:pos="1312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1230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continuous variables were standardized (z-scaled), and analyses were run using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ivreg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1231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(147)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R version 4.1.2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all analyses in our study, threshold for statistical significance was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1232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 at two-tailed p&lt;0.05, with multiple comparison correction based on false discovery rate. </w:t>
      </w:r>
    </w:p>
    <w:p>
      <w:pPr>
        <w:autoSpaceDN w:val="0"/>
        <w:autoSpaceDE w:val="0"/>
        <w:widowControl/>
        <w:spacing w:line="180" w:lineRule="auto" w:before="422" w:after="376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1233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7"/>
        <w:gridCol w:w="5037"/>
      </w:tblGrid>
      <w:tr>
        <w:trPr>
          <w:trHeight w:hRule="exact" w:val="710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1234 </w:t>
            </w:r>
          </w:p>
          <w:p>
            <w:pPr>
              <w:autoSpaceDN w:val="0"/>
              <w:autoSpaceDE w:val="0"/>
              <w:widowControl/>
              <w:spacing w:line="307" w:lineRule="auto" w:before="432" w:after="0"/>
              <w:ind w:left="0" w:right="130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1235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1236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1237 </w:t>
            </w:r>
          </w:p>
          <w:p>
            <w:pPr>
              <w:autoSpaceDN w:val="0"/>
              <w:autoSpaceDE w:val="0"/>
              <w:widowControl/>
              <w:spacing w:line="310" w:lineRule="auto" w:before="432" w:after="0"/>
              <w:ind w:left="0" w:right="130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1238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1239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1240 </w:t>
            </w:r>
          </w:p>
          <w:p>
            <w:pPr>
              <w:autoSpaceDN w:val="0"/>
              <w:autoSpaceDE w:val="0"/>
              <w:widowControl/>
              <w:spacing w:line="343" w:lineRule="auto" w:before="302" w:after="0"/>
              <w:ind w:left="0" w:right="130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1241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1242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1243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1244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1245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1246 </w:t>
            </w:r>
          </w:p>
        </w:tc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76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Causal Machine Learning </w:t>
            </w:r>
          </w:p>
          <w:p>
            <w:pPr>
              <w:autoSpaceDN w:val="0"/>
              <w:autoSpaceDE w:val="0"/>
              <w:widowControl/>
              <w:spacing w:line="240" w:lineRule="auto" w:before="424" w:after="0"/>
              <w:ind w:left="5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IV Forest (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grf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 package version 2.2.1) (65, 66) is a novel causal machine learning approach </w:t>
            </w:r>
          </w:p>
          <w:p>
            <w:pPr>
              <w:autoSpaceDN w:val="0"/>
              <w:autoSpaceDE w:val="0"/>
              <w:widowControl/>
              <w:spacing w:line="240" w:lineRule="auto" w:before="26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extends from the conventional random forest framework (148) with recursive partitioning, </w:t>
            </w:r>
          </w:p>
          <w:p>
            <w:pPr>
              <w:autoSpaceDN w:val="0"/>
              <w:autoSpaceDE w:val="0"/>
              <w:widowControl/>
              <w:spacing w:line="240" w:lineRule="auto" w:before="27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subsampling, and random splitting to identify the average effects and its individual differences. </w:t>
            </w:r>
          </w:p>
          <w:p>
            <w:pPr>
              <w:autoSpaceDN w:val="0"/>
              <w:autoSpaceDE w:val="0"/>
              <w:widowControl/>
              <w:spacing w:line="240" w:lineRule="auto" w:before="424" w:after="0"/>
              <w:ind w:left="5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Initially, the IV Forest randomly splits the dataset into two independent subsets, S and T. </w:t>
            </w:r>
          </w:p>
          <w:p>
            <w:pPr>
              <w:autoSpaceDN w:val="0"/>
              <w:autoSpaceDE w:val="0"/>
              <w:widowControl/>
              <w:spacing w:line="149" w:lineRule="auto" w:before="2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tree explores potential divisions—such as "Race/ethnicity = White"—to split S into groups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𝑆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1</w:t>
            </w:r>
          </w:p>
          <w:p>
            <w:pPr>
              <w:autoSpaceDN w:val="0"/>
              <w:autoSpaceDE w:val="0"/>
              <w:widowControl/>
              <w:spacing w:line="149" w:lineRule="auto" w:before="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𝑆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, based on the fulfillment of the specified criteria. The selection of these splits is </w:t>
            </w:r>
          </w:p>
          <w:p>
            <w:pPr>
              <w:autoSpaceDN w:val="0"/>
              <w:autoSpaceDE w:val="0"/>
              <w:widowControl/>
              <w:spacing w:line="149" w:lineRule="auto" w:before="26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groups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𝑆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and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𝑆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Following the construction phase, subset T, independent of S, is employed </w:t>
            </w:r>
          </w:p>
          <w:p>
            <w:pPr>
              <w:autoSpaceDN w:val="0"/>
              <w:autoSpaceDE w:val="0"/>
              <w:widowControl/>
              <w:spacing w:line="238" w:lineRule="auto" w:before="24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model validation. Fresh observations from T are introduced into groups with similar treatment </w:t>
            </w:r>
          </w:p>
          <w:p>
            <w:pPr>
              <w:autoSpaceDN w:val="0"/>
              <w:autoSpaceDE w:val="0"/>
              <w:widowControl/>
              <w:spacing w:line="240" w:lineRule="auto" w:before="27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responses by each tree. The aggregation of results from multiple trees is conducted through local </w:t>
            </w:r>
          </w:p>
          <w:p>
            <w:pPr>
              <w:autoSpaceDN w:val="0"/>
              <w:autoSpaceDE w:val="0"/>
              <w:widowControl/>
              <w:spacing w:line="240" w:lineRule="auto" w:before="26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weighting method, aimed at reducing overall estimate variance and improving accuracy. Using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960" w:right="1190" w:bottom="1032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1247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separate subsets for tree building and model validation ensures an honest estimation of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1248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conditional average effects, systematically reducing the risk of overfitting (67).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1249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all IV Forest analyses, we accounted for the multi-site structure of the ABCD Study by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1250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incorporating study sites as a clustering variable. This approach addresses potential site-level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1251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confounding and ensures valid statistical inference in the presence of clustered data. Specifically,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1252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implemented cluster-based subsampling: rather than randomly selecting individual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1253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participants to construct each tree, we sampled entire site clusters as the unit of analysis. This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1254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modification preserves the hierarchical data structure and prevents within-cluster correlation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1255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biasing our estimates. Crucially, this approach maintains the honesty property of IV Forest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1256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ensuring complete separation between training and inference samples. By using data from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1257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distinct clusters for model training versus prediction, we reduce the risk of information leakage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1258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could otherwise inflate performance metrics and compromise the validity of our estimates.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1259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IV Forests, we obtained augmented inverse propensity weighted estimates of average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1260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effects, a doubly-robust estimator which can capture complex patterns of individual differences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1261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reduce reliance on parametric model forms (65) such as linearity. This is particularly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1262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advantageous when the relationship between environmental variables and neurocognitive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1263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 is likely nonlinear (6, 149, 150).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1264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line with prior studies (75, 76), we evaluated heterogeneous effects by testing whether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1265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average effects are significantly different among subgroups defined by their relative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1266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resilience/vulnerability (77). These subgroups were defined across a decile spectrum, with Q1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1267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representing the most vulnerable and Q10 the most resilient. We considered a model to have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1268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significant heterogeneous effects only if it satisfied all three of the following criteria: </w:t>
      </w:r>
    </w:p>
    <w:p>
      <w:pPr>
        <w:autoSpaceDN w:val="0"/>
        <w:tabs>
          <w:tab w:pos="1226" w:val="left"/>
          <w:tab w:pos="194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1269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monotonicity test evaluates the existence of at least one inequality in the average </w:t>
      </w:r>
    </w:p>
    <w:p>
      <w:pPr>
        <w:sectPr>
          <w:pgSz w:w="11905" w:h="16840"/>
          <w:pgMar w:top="960" w:right="1190" w:bottom="116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8"/>
        <w:gridCol w:w="3358"/>
        <w:gridCol w:w="3358"/>
      </w:tblGrid>
      <w:tr>
        <w:trPr>
          <w:trHeight w:hRule="exact" w:val="210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0" w:right="130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1270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1271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1272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1273 </w:t>
            </w:r>
          </w:p>
          <w:p>
            <w:pPr>
              <w:autoSpaceDN w:val="0"/>
              <w:autoSpaceDE w:val="0"/>
              <w:widowControl/>
              <w:spacing w:line="310" w:lineRule="auto" w:before="434" w:after="0"/>
              <w:ind w:left="0" w:right="130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1274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1275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1276 </w:t>
            </w:r>
          </w:p>
          <w:p>
            <w:pPr>
              <w:autoSpaceDN w:val="0"/>
              <w:autoSpaceDE w:val="0"/>
              <w:widowControl/>
              <w:spacing w:line="305" w:lineRule="auto" w:before="448" w:after="0"/>
              <w:ind w:left="0" w:right="130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1277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1278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1279 </w:t>
            </w:r>
          </w:p>
          <w:p>
            <w:pPr>
              <w:autoSpaceDN w:val="0"/>
              <w:autoSpaceDE w:val="0"/>
              <w:widowControl/>
              <w:spacing w:line="274" w:lineRule="auto" w:before="432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1280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1281 </w:t>
            </w:r>
          </w:p>
          <w:p>
            <w:pPr>
              <w:autoSpaceDN w:val="0"/>
              <w:autoSpaceDE w:val="0"/>
              <w:widowControl/>
              <w:spacing w:line="305" w:lineRule="auto" w:before="438" w:after="0"/>
              <w:ind w:left="0" w:right="130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1282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1283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1284 </w:t>
            </w:r>
          </w:p>
          <w:p>
            <w:pPr>
              <w:autoSpaceDN w:val="0"/>
              <w:autoSpaceDE w:val="0"/>
              <w:widowControl/>
              <w:spacing w:line="274" w:lineRule="auto" w:before="438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1285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1286 </w:t>
            </w:r>
          </w:p>
          <w:p>
            <w:pPr>
              <w:autoSpaceDN w:val="0"/>
              <w:autoSpaceDE w:val="0"/>
              <w:widowControl/>
              <w:spacing w:line="276" w:lineRule="auto" w:before="432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1287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1288 </w:t>
            </w:r>
          </w:p>
          <w:p>
            <w:pPr>
              <w:autoSpaceDN w:val="0"/>
              <w:autoSpaceDE w:val="0"/>
              <w:widowControl/>
              <w:spacing w:line="305" w:lineRule="auto" w:before="434" w:after="0"/>
              <w:ind w:left="0" w:right="130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1289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1290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1291 </w:t>
            </w:r>
          </w:p>
        </w:tc>
        <w:tc>
          <w:tcPr>
            <w:tcW w:type="dxa" w:w="9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hypothesis (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ℋ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0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which states that effects are equal across all deciles. Essentially,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test determines whether there is a consistent, ordered relationship in the effects </w:t>
            </w:r>
          </w:p>
          <w:p>
            <w:pPr>
              <w:autoSpaceDN w:val="0"/>
              <w:autoSpaceDE w:val="0"/>
              <w:widowControl/>
              <w:spacing w:line="238" w:lineRule="auto" w:before="270" w:after="0"/>
              <w:ind w:left="1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from one decile to the next, indicating a monotonic trend. </w:t>
            </w:r>
          </w:p>
        </w:tc>
      </w:tr>
      <w:tr>
        <w:trPr>
          <w:trHeight w:hRule="exact" w:val="600"/>
        </w:trPr>
        <w:tc>
          <w:tcPr>
            <w:tcW w:type="dxa" w:w="3358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(ii)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alternative hypothesis test evaluates whether the average effect in the highest </w:t>
            </w:r>
          </w:p>
        </w:tc>
      </w:tr>
      <w:tr>
        <w:trPr>
          <w:trHeight w:hRule="exact" w:val="1180"/>
        </w:trPr>
        <w:tc>
          <w:tcPr>
            <w:tcW w:type="dxa" w:w="3358"/>
            <w:vMerge/>
            <w:tcBorders/>
          </w:tcPr>
          <w:p/>
        </w:tc>
        <w:tc>
          <w:tcPr>
            <w:tcW w:type="dxa" w:w="9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1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decile exceeds the combined average effects in the remaining deciles Q2 through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Q10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.</w:t>
            </w:r>
          </w:p>
        </w:tc>
      </w:tr>
      <w:tr>
        <w:trPr>
          <w:trHeight w:hRule="exact" w:val="620"/>
        </w:trPr>
        <w:tc>
          <w:tcPr>
            <w:tcW w:type="dxa" w:w="3358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4" w:after="0"/>
              <w:ind w:left="0" w:right="1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(iii)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4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ANOVA test determines whether the average effects are statistically different </w:t>
            </w:r>
          </w:p>
        </w:tc>
      </w:tr>
      <w:tr>
        <w:trPr>
          <w:trHeight w:hRule="exact" w:val="8096"/>
        </w:trPr>
        <w:tc>
          <w:tcPr>
            <w:tcW w:type="dxa" w:w="3358"/>
            <w:vMerge/>
            <w:tcBorders/>
          </w:tcPr>
          <w:p/>
        </w:tc>
        <w:tc>
          <w:tcPr>
            <w:tcW w:type="dxa" w:w="9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34" w:after="0"/>
              <w:ind w:left="1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across deciles. In this context, the group mean in the ANOVA corresponds to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average effect of each decile. </w:t>
            </w:r>
          </w:p>
          <w:p>
            <w:pPr>
              <w:autoSpaceDN w:val="0"/>
              <w:autoSpaceDE w:val="0"/>
              <w:widowControl/>
              <w:spacing w:line="360" w:lineRule="auto" w:before="424" w:after="0"/>
              <w:ind w:left="160" w:right="0" w:firstLine="426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ensure that the IV Forest estimations are robust across different random seeds, we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developed 100-seed ensemble IV Forest model. Specifically, we used the following procedures: </w:t>
            </w:r>
          </w:p>
          <w:p>
            <w:pPr>
              <w:autoSpaceDN w:val="0"/>
              <w:autoSpaceDE w:val="0"/>
              <w:widowControl/>
              <w:spacing w:line="398" w:lineRule="auto" w:before="430" w:after="0"/>
              <w:ind w:left="946" w:right="12" w:hanging="36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each iteration, randomly split the data in half (i.e., train vs test sets) to build a forest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model with the first half and perform estimation with the other half. We repeated this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process 100 times using different seeds in each iteration to build 100 forest models. </w:t>
            </w:r>
          </w:p>
          <w:p>
            <w:pPr>
              <w:autoSpaceDN w:val="0"/>
              <w:tabs>
                <w:tab w:pos="946" w:val="left"/>
              </w:tabs>
              <w:autoSpaceDE w:val="0"/>
              <w:widowControl/>
              <w:spacing w:line="360" w:lineRule="auto" w:before="430" w:after="0"/>
              <w:ind w:left="5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Combine the 100 forest models into one big IV Forest model and then rank the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observations into deciles according to their estimated conditional average effects. </w:t>
            </w:r>
          </w:p>
          <w:p>
            <w:pPr>
              <w:autoSpaceDN w:val="0"/>
              <w:tabs>
                <w:tab w:pos="946" w:val="left"/>
              </w:tabs>
              <w:autoSpaceDE w:val="0"/>
              <w:widowControl/>
              <w:spacing w:line="360" w:lineRule="auto" w:before="424" w:after="0"/>
              <w:ind w:left="5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Obtain augmented inverse propensity weighted average effects for each decile and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perform monotonicity, alternative hypothesis, and ANOVA tests. </w:t>
            </w:r>
          </w:p>
          <w:p>
            <w:pPr>
              <w:autoSpaceDN w:val="0"/>
              <w:autoSpaceDE w:val="0"/>
              <w:widowControl/>
              <w:spacing w:line="401" w:lineRule="auto" w:before="426" w:after="0"/>
              <w:ind w:left="160" w:right="6" w:firstLine="426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Having established significant heterogeneous associations of ADI with PLEs in our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Integrated model, and identified cognitive performance GPS as one of the key moderators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through SHAP analysis, we systematically examined gene-environment interactions across three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840"/>
          <w:pgMar w:top="960" w:right="1190" w:bottom="1152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1292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cognitive ability GPSs (i.e., cognitive performance, IQ, and education attainment).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1293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isolate the moderating role of each GPS using conditional effects, we employed a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1294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standardized procedure (151): </w:t>
      </w:r>
    </w:p>
    <w:p>
      <w:pPr>
        <w:autoSpaceDN w:val="0"/>
        <w:tabs>
          <w:tab w:pos="1202" w:val="left"/>
          <w:tab w:pos="1602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1295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isolate the effect of a single GPS variable, we constructed a synthetic dataset where </w:t>
      </w:r>
    </w:p>
    <w:p>
      <w:pPr>
        <w:autoSpaceDN w:val="0"/>
        <w:tabs>
          <w:tab w:pos="1602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1296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its values spanned their full empirical range. All other covariates in the model were held </w:t>
      </w:r>
    </w:p>
    <w:p>
      <w:pPr>
        <w:autoSpaceDN w:val="0"/>
        <w:tabs>
          <w:tab w:pos="1602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1297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constant at their respective sample means to create a consistent, average profile. </w:t>
      </w:r>
    </w:p>
    <w:p>
      <w:pPr>
        <w:autoSpaceDN w:val="0"/>
        <w:tabs>
          <w:tab w:pos="1202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1298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then used our IV Forest model to predict the conditional average effects. This yielded </w:t>
      </w:r>
    </w:p>
    <w:p>
      <w:pPr>
        <w:autoSpaceDN w:val="0"/>
        <w:tabs>
          <w:tab w:pos="1602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1299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estimate of the link between ADI and PLEs for each point along the continuum of the </w:t>
      </w:r>
    </w:p>
    <w:p>
      <w:pPr>
        <w:autoSpaceDN w:val="0"/>
        <w:tabs>
          <w:tab w:pos="1602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1300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 GPS.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1301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resulting plot illustrates how the relationship of neighborhood socioeconomic deprivation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1302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PLEs varies across the distribution of a specific GPS variable, holding all other factors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1303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constant. </w:t>
      </w:r>
    </w:p>
    <w:p>
      <w:pPr>
        <w:autoSpaceDN w:val="0"/>
        <w:autoSpaceDE w:val="0"/>
        <w:widowControl/>
        <w:spacing w:line="180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1304 </w:t>
      </w:r>
    </w:p>
    <w:p>
      <w:pPr>
        <w:autoSpaceDN w:val="0"/>
        <w:tabs>
          <w:tab w:pos="800" w:val="left"/>
        </w:tabs>
        <w:autoSpaceDE w:val="0"/>
        <w:widowControl/>
        <w:spacing w:line="216" w:lineRule="auto" w:before="44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1305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Methodological Strengths of Causal Machine Learning </w:t>
      </w:r>
    </w:p>
    <w:p>
      <w:pPr>
        <w:autoSpaceDN w:val="0"/>
        <w:tabs>
          <w:tab w:pos="1226" w:val="left"/>
        </w:tabs>
        <w:autoSpaceDE w:val="0"/>
        <w:widowControl/>
        <w:spacing w:line="185" w:lineRule="auto" w:before="18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1306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study, we utilized innovative causal machine learning techniques to test the negative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1307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relationship of neighborhood deprivation with childhood psychopathology. Specifically, we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1308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employed the IV Forest method that allows us to discern how residential deprivation relates to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1309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children’s PLEs in a manner dependent on a variety of genetic risk factors (e.g., GPS of cognitive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1310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performance, educational attainment, and IQ (54, 89, 152)) and environmental risk factors (e.g.,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1311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family income (2, 153)), as identified in existing literature. Our findings were adjusted to account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1312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potential biases from both observed and unobserved variables.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machine learning algorithm we used was adept at modelling the complex interplay gene-</w:t>
      </w:r>
    </w:p>
    <w:p>
      <w:pPr>
        <w:sectPr>
          <w:pgSz w:w="11905" w:h="16840"/>
          <w:pgMar w:top="960" w:right="1190" w:bottom="1202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1314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 interactions. Among the three IV Forest models we tested (i.e., Delay Discounting,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Gene-Brain, Integrated), only the Integrated model—which included delay discounting,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1316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sociodemographic characteristics, and genetic and neural correlates of delay discounting—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1317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identified the significant heterogeneous relationships of ADI with children’s PLEs. This suggests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the intricate interactions among environmental, genetic, neural factors, and delay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 play a crucial role in how socioeconomic adversity relates to PLEs.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1320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IV Forest model represents a significant advancement over traditional analysis methods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1321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enabling data-driven feature selection and the stratification of heterogeneous associations (65,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1322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66). Unlike methods that rely on patterns predetermined by researchers, the IV Forest model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1323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inductively identifies complex and nonlinear interactions, providing a deeper and more nuanced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understanding of the data. Traditional deductive approaches often suffer from low statistical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power and bias (59, 154), which inadequately capture the complexity of gene-environment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1326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interactions (42, 43). For instance, employing conventional linear regression to model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1327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interactions among the 45 covariates in our Integrated model would necessitate the inclusion of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1328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35 trillion interaction terms. This is not only impractical due to its complexity but also prone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issues like reduced statistical power, poor interpretability, and collinearity. </w:t>
      </w:r>
    </w:p>
    <w:p>
      <w:pPr>
        <w:autoSpaceDN w:val="0"/>
        <w:tabs>
          <w:tab w:pos="1226" w:val="left"/>
        </w:tabs>
        <w:autoSpaceDE w:val="0"/>
        <w:widowControl/>
        <w:spacing w:line="185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1330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Given these challenges, we believe that analysis methods that assess heterogeneous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1331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associations based on machine learning hold significant potential as powerful tools for advancing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1332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precision science in psychology and medicine. These approaches provide a more dynamic and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1333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accurate framework for understanding the multifaceted influences on psychopathology,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1334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demonstrating significant promise for future research in these fields. </w:t>
      </w:r>
    </w:p>
    <w:p>
      <w:pPr>
        <w:autoSpaceDN w:val="0"/>
        <w:autoSpaceDE w:val="0"/>
        <w:widowControl/>
        <w:spacing w:line="180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1335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1336 </w:t>
      </w:r>
    </w:p>
    <w:p>
      <w:pPr>
        <w:sectPr>
          <w:pgSz w:w="11905" w:h="16840"/>
          <w:pgMar w:top="960" w:right="1190" w:bottom="1164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1337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1338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1339 </w:t>
      </w:r>
    </w:p>
    <w:p>
      <w:pPr>
        <w:sectPr>
          <w:pgSz w:w="11905" w:h="16840"/>
          <w:pgMar w:top="960" w:right="1440" w:bottom="14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2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216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1340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Supplementary Figures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17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1341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Fig. S1. Assessment of the overlap assumption.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Histograms of propensity scores for the three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1342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distinct IV Forest models: Delay Discounting model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 Gene-Brain model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and Integrated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1343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The IV Forest algorithm relies on the overlap assumption, which posits that there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1344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should be sufficient overlap in the covariate distributions between the treated and control groups.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1345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other words, this means that the treatment status of an individual should not be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1346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deterministically predictable based on their covariates. The validity of the overlap assumption is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1347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evaluated using the histograms of propensity scores (65, 66). The fact that none of the estimated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1348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propensity scores are extremely close to either one or zero indicates that the overlap assumption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1349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holds, suggesting an appropriate level of randomness in treatment assignment relative to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1350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covariates. </w:t>
      </w:r>
    </w:p>
    <w:p>
      <w:pPr>
        <w:sectPr>
          <w:pgSz w:w="11905" w:h="16840"/>
          <w:pgMar w:top="960" w:right="1190" w:bottom="14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1351 </w:t>
      </w:r>
      <w:r>
        <w:tab/>
      </w:r>
      <w:r>
        <w:drawing>
          <wp:inline xmlns:a="http://schemas.openxmlformats.org/drawingml/2006/main" xmlns:pic="http://schemas.openxmlformats.org/drawingml/2006/picture">
            <wp:extent cx="5295900" cy="74307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43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0" w:lineRule="auto" w:before="45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1352 </w:t>
      </w:r>
    </w:p>
    <w:p>
      <w:pPr>
        <w:sectPr>
          <w:pgSz w:w="11905" w:h="16840"/>
          <w:pgMar w:top="960" w:right="1440" w:bottom="1228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1353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Fig. S2. Beeswarm summary plots of Shapley additive explanation (SHAP) values for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1354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Integrated model.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Contributions of the top 20 variables of highest importance in the Integrated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1355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 for the heterogeneous associations of neighborhood socioeconomic deprivation with 1-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1356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year follow-up distress score PLEs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and 1-year follow-up hallucinational PLEs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are shown.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1357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Variables are ordered by their relative importance in the model. Negative SHAP values indicate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1358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greater vulnerability (lower resilience) to the relationships of ADI with PLEs; Positive values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1359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indicate lower vulnerability (greater resilience). Contrasts of average beta activations of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1360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given brain ROIs during MID tasks are shown in parenthesis. GPS: genome-wide polygenic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1361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scores; Ventral dc: ventral diencephalon.</w:t>
      </w:r>
    </w:p>
    <w:p>
      <w:pPr>
        <w:sectPr>
          <w:pgSz w:w="11905" w:h="16840"/>
          <w:pgMar w:top="960" w:right="1190" w:bottom="14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1362 </w:t>
      </w:r>
      <w:r>
        <w:tab/>
      </w:r>
      <w:r>
        <w:drawing>
          <wp:inline xmlns:a="http://schemas.openxmlformats.org/drawingml/2006/main" xmlns:pic="http://schemas.openxmlformats.org/drawingml/2006/picture">
            <wp:extent cx="5835650" cy="84302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843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5" w:h="16840"/>
          <w:pgMar w:top="960" w:right="1256" w:bottom="798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2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216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1363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Extended Discussion: Social Science &amp; Economic Implications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1364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Our finding that neighborhood socioeconomic adversity relates to steeper discounting of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1365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future rewards has profound implications for understanding the persistence of poverty and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1366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inequality. We propose three possible interpretations to explain the link between neighborhood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1367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socioeconomic adversity and individual’s intertemporal decision-making, focusing on (i)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1368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individual’s rate of delay discounting, (ii) resource scarcity, and (iii) social trust. </w:t>
      </w:r>
    </w:p>
    <w:p>
      <w:pPr>
        <w:autoSpaceDN w:val="0"/>
        <w:tabs>
          <w:tab w:pos="1402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1369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Challenging the Exogeneity of Time Preference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1370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longstanding economic theory posits that an individual's rate of discounting future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1371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rewards (time preference) is an exogenous parameter of intertemporal choice, established a priori,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1372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impervious to external influences (24). Since the introduction of the discounted utility model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1373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(155) by Paul Samuelson in 1937, there has been limited exploration into whether environmental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1374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factors affect the development of an individual's parameter (24, 88). Our study challenges this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1375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notion by offering concrete evidence that the development of an individual's time preference is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1376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subject to environmental influences, and thereby opening new avenues for understanding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1377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dynamics of intertemporal decision-making. </w:t>
      </w:r>
    </w:p>
    <w:p>
      <w:pPr>
        <w:autoSpaceDN w:val="0"/>
        <w:tabs>
          <w:tab w:pos="1402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1378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Cognitive Impact of Resource Scarcity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1379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Our second interpretation focuses on the cognitive consequences of poverty. Living in a state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1380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resource scarcity can impose a significant “mental bandwidth tax,” overloading cognitive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1381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capacity and diverting attention away from long-term planning (156, 157). This cognitive strain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1382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 precipitate a range of poor financial decisions, such as impulsive purchasing or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1383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mismanagement of finances, as immediate needs overwhelm future-oriented goals (157, 158). In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1384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view, steeper discounting is a rational response to a cognitively demanding environment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1385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 long-term planning is a luxury. </w:t>
      </w:r>
    </w:p>
    <w:p>
      <w:pPr>
        <w:sectPr>
          <w:pgSz w:w="11905" w:h="16840"/>
          <w:pgMar w:top="960" w:right="1130" w:bottom="1034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1402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1386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Role of Social Trust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1387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third interpretation emphasizes the role of social trust and environmental reliability. In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1388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neighborhoods characterized by instability and reduced social trust, promises of future rewards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1389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be perceived as unreliable. When individuals lack confidence that a delayed reward will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1390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actually materialize, it is logical to prefer a smaller, certain reward available now over a larger,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1391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uncertain one in the future (159, 160). This learned preference for immediate gratification is an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1392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adaptive strategy in an untrustworthy environment. </w:t>
      </w:r>
    </w:p>
    <w:p>
      <w:pPr>
        <w:autoSpaceDN w:val="0"/>
        <w:tabs>
          <w:tab w:pos="1402" w:val="left"/>
        </w:tabs>
        <w:autoSpaceDE w:val="0"/>
        <w:widowControl/>
        <w:spacing w:line="185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1393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Synthesis: The Behavioral Poverty Trap </w:t>
      </w:r>
    </w:p>
    <w:p>
      <w:pPr>
        <w:autoSpaceDN w:val="0"/>
        <w:tabs>
          <w:tab w:pos="122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1394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three interpretations, though seemingly distinct, converge in real-world contexts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1395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 socioeconomically disadvantaged families often face both resource scarcity and reduced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1396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social trust (161). This synthesis forms the basis of the “behavioral poverty trap”, wherein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1397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individuals raised in impoverished environments are prone to overvalue immediate rewards,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1398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leading to myopic behaviors such as overconsumption, inadequate savings (22, 157), and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1399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heightened risk of psychiatric disorders including psychosis and addiction (25, 162). These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1400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behaviors, in turn, may perpetuate socioeconomic challenges and hinder escape from poverty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1401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(20, 21). </w:t>
      </w:r>
    </w:p>
    <w:p>
      <w:pPr>
        <w:autoSpaceDN w:val="0"/>
        <w:autoSpaceDE w:val="0"/>
        <w:widowControl/>
        <w:spacing w:line="180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1402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1403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1404 </w:t>
      </w:r>
    </w:p>
    <w:p>
      <w:pPr>
        <w:sectPr>
          <w:pgSz w:w="11905" w:h="16840"/>
          <w:pgMar w:top="960" w:right="1190" w:bottom="14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2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216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1405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Extended Discussion: Plausible Biological Mechanisms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1406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build on the behavioral poverty trap framework by identifying the potential link between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1407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neighborhood environment with intertemporal choice, leveraging longitudinal observations of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1408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preadolescent children aged 9-12 years, a critical period for neurocognitive development. A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1409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plausible biological mechanism for this phenomenon is the effects of glucocorticoid on brain’s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1410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reward system. Prior studies indicate that adverse social environments induce chronic stress to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1411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children, elevating glucocorticoid hormones like cortisol (79-83). In particular, neighborhood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1412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socioeconomic deprivation has a more pronounced association with cortisol increases in children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compared to any other social environmental factors (163). Long-term chronic stress from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1414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growing up in disadvantaged neighborhoods could result in epigenetic modifications affecting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mesocorticolimbic dopaminergic system, thereby altering the reward system (82, 83). This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1416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alteration may lead to a heightened preference for immediate rewards and impulsive behaviors,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1417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as unhealthy eating and substance abuse (81-83, 164-168), further entrenching the cycle of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socioeconomic disadvantage.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Our findings extend this understanding by linking the heterogeneous associations between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1420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ADI  and children’s PLEs with the intricate relationship between childhood social adversity and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1421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reward system. Our findings suggest that these differential relationships of neighborhood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1422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socioeconomic adversity are modulated by genetic predispositions and neurodevelopmental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1423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traits associated with delay discounting. Children who experience residential deprivation and are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a higher PLEs demonstrate several distinct characteristics, including lower BMI, younger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parental age, and altered brain structures and functions associated with delay discounting.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1426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Notably, these children showed reduced volume or white matter in specific brain regions (right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1427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temporal pole, right parahippocampal gyrus, right caudate nucleus, right isthmus cingulate), </w:t>
      </w:r>
    </w:p>
    <w:p>
      <w:pPr>
        <w:sectPr>
          <w:pgSz w:w="11905" w:h="16840"/>
          <w:pgMar w:top="960" w:right="1190" w:bottom="1276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1428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along with a smaller intracranial and total grey matter volume. Functionally, these children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showed greater activation during MID tasks in regions including the right posterior cingulate,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1430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right ventral diencephalon, right insula, left precentral gyrus, left thalamus proper, and left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1431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superior temporal.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is particularly pronounced in children with a greater propensity for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1432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hallucinatory symptoms, who also show increased activity in the left supramarginal gyrus.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1433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appears that variations in structural and functional aspects of the limbic system (the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1434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posterior cingulate, ventral diencephalon, insula, temporal pole, parahippocampal gyrus, and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1435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isthmus cingulate) play a crucial role in how socioeconomic hardship affects PLEs. This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1436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 variability may be linked to individual differences in the glucocorticoid and reward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1437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system. The interaction between our genes and neurons, in response to chronic stress from poor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1438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socioeconomic conditions, may determine the differing associations of such adversity with PLEs.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1439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Although direct testing of this association within the ABCD Study samples was not feasible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1440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due to lack of relevant data, extensive animal and human corroborate our hypotheses. These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1441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studies suggest that maladaptive valuation of intertemporal rewards, namely the excessive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1442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discounting of future rewards, is linked to dysfunction of the prefrontal-limbic system, associated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1443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psychopathologies such as psychosis in adolescents and adults (25, 26, 33, 84-87). Animal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1444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models have demonstrated that adverse social environments may trigger chronic dysregulation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1445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glucocorticoid signaling in the hypothalamic-pituitary-adrenal axis and the dopaminergic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1446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mesocortical circuit (83), through epigenetic control (82, 83). This dysregulation could disrupt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1447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adolescent reward circuit. In humans, childhood exposure to social adversity relates to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1448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changes in the hypothalamic-pituitary-adrenal axis and may contribute to psychosis through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1449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abnormal neurodevelopment of the limbic regions, the temporal pole, cingulate cortices,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1450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parahippocampal gyrus, and caudate nucleus (169-172). Young adults with a history of childhood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1451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social deprivation often show impaired reward processing, particularly in the cingulate and </w:t>
      </w:r>
    </w:p>
    <w:p>
      <w:pPr>
        <w:sectPr>
          <w:pgSz w:w="11905" w:h="16840"/>
          <w:pgMar w:top="960" w:right="1190" w:bottom="1052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1452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mesostriatal dopaminergic system (19, 172-174).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1453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age of our study’s participants, 9-12 years old, is a critical period for development of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1454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prefrontal-limbic system (172, 175, 176). Children with psychotic disorders often exhibit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1455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greater reductions in grey matter compared to their healthy peers (177, 178). These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1456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neurodevelopmental alterations are associated with increased neuronal excitation, reduced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1457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inhibitory neural activities, and the resultant impulsive behaviors (179). In line with our findings,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1458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previous research has shown a correlation between higher PLEs and neuroanatomical alterations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1459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right temporal fusiform, right temporal pole, and right parahippocampal gyrus (171), as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1460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well as  greater neural activations in limbic regions such as the insula and cingulate cortices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1461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during reward outcomes in MID task (180). Overall, our findings on the heterogeneous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1462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associations of neighborhood deprivation contribute to the growing body of literature showing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1463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role of glucocorticoid and reward systems in modulating the negative relationships of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1464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environmental deprivation with psychosis (170, 172, 174, 181, 182). </w:t>
      </w:r>
    </w:p>
    <w:p>
      <w:pPr>
        <w:autoSpaceDN w:val="0"/>
        <w:autoSpaceDE w:val="0"/>
        <w:widowControl/>
        <w:spacing w:line="180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1465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1466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1467 </w:t>
      </w:r>
    </w:p>
    <w:p>
      <w:pPr>
        <w:autoSpaceDN w:val="0"/>
        <w:autoSpaceDE w:val="0"/>
        <w:widowControl/>
        <w:spacing w:line="180" w:lineRule="auto" w:before="43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1468 </w:t>
      </w:r>
    </w:p>
    <w:p>
      <w:pPr>
        <w:sectPr>
          <w:pgSz w:w="11905" w:h="16840"/>
          <w:pgMar w:top="960" w:right="1190" w:bottom="14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2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216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1469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Extended Discussion: Limitations and Future Directions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1470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Several limitations of this study warrant consideration. First, we used ABCD Study, a non-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1471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randomized, observational cohort. Despite employing IV methods, including IV Forest and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1472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DoubleML, to adjust for both observed and potential unobserved confounders, the inherent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1473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limitation of the exclusion restriction assumption persists. This assumption, critical to the validity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1474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IV methods, cannot be directly verified with data. Albeit we substantiated this assumption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1475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extensive prior research discussed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Methods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Supplementary Methods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its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1476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validity may still be subject to scrutiny, as might the overall efficacy of the IV method in fully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1477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adjusting for residual confounding bias. </w:t>
      </w:r>
    </w:p>
    <w:p>
      <w:pPr>
        <w:autoSpaceDN w:val="0"/>
        <w:tabs>
          <w:tab w:pos="122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1478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instance, SOI laws might influence child PLEs through pathways other than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1479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neighborhood adversity (ADI), such as by reducing parental stress associated with housing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1480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insecurity or by fostering a greater sense of community social capital. While our extensive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1481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covariates partially mitigate these concerns, we acknowledge that these unmeasured factors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1482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could potentially violate the exclusion restriction assumption. Future research could aim to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1483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 these constructs directly to further disentangle these complex relationships.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1484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mitigate this limitation, we calculated E-values for the average effects of neighborhood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1485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disadvantage on delay discounting and PLEs. The large E-values calculated indicate that it would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1486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 unobserved confounders with a significantly strong association with both the exposure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1487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outcomes to negate our findings. Given the magnitude of these E-values and our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1488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comprehensive adjustments for confounding, it is unlikely that unobserved confounding could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1489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fully account for the observed relationships, thereby supporting the potential relationships found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1490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study, despite not providing absolute proof of causality.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1491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Second, large number of samples were excluded from the initial cohort to ensure high data </w:t>
      </w:r>
    </w:p>
    <w:p>
      <w:pPr>
        <w:sectPr>
          <w:pgSz w:w="11905" w:h="16840"/>
          <w:pgMar w:top="960" w:right="1190" w:bottom="1114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1492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quality for our neurobiological and behavioral analyses. As detailed in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Methods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1493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Supplementary Methods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our commitment to data validity required the strict application of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1494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MRI quality control and behavioral validation criteria recommended by the ABCD consortium.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1495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While this approach maximizes the internal validity of our findings by ensuring we only modeled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1496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high-quality data, these necessary exclusions led to the substantial sample attrition and resulting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1497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selection bias discussed previously. This reflects a fundamental trade-off in large-scale cohort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1498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research between data rigor and sample representativeness. Consequently, while our findings are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1499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on valid data, they must be interpreted with the understanding that they may not generalize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1500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populations that were disproportionately excluded by these essential quality control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1501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procedures.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1502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Third, since the majority of participants identified their race/ethnicity as white (65.57%),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1503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generalizability of our findings to other minor race/ethnicity might remain to be tested.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1504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Nonetheless, recent research suggests that temporal discounting measures are consistent across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1505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diverse populations worldwide (61 countries, N=13,629) (183), which may mitigate concerns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1506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regarding the representativeness of our findings.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1507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Fourth, the relatively short follow-up periods in our study (1-year and 2-year follow-up) may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1508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adequately capture the long-term neurodevelopmental processes underlying intertemporal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1509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valuation and related psychopathology. Notably, additional follow-up data from the ABCD Study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1510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became available after we finalized this manuscript. As the ABCD Study continues to collect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1511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longitudinal observations, longer follow-up periods in future studies could yield deeper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1512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insights. </w:t>
      </w:r>
    </w:p>
    <w:p>
      <w:pPr>
        <w:autoSpaceDN w:val="0"/>
        <w:tabs>
          <w:tab w:pos="1226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Fifth, despite efforts to ensure representativeness by recruiting from diverse school systems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1514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across 21 research sites in the United States, our sample does not fully mirror the entire US </w:t>
      </w:r>
    </w:p>
    <w:p>
      <w:pPr>
        <w:sectPr>
          <w:pgSz w:w="11905" w:h="16840"/>
          <w:pgMar w:top="960" w:right="1190" w:bottom="12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population (184). Though we provide a supplementary table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Table S7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comparing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1516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demographic characteristics of our final sample with the general United States population,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1517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generalizability of our specific neuro-genetic findings to other racial and ethnic groups remains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1518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be tested. </w:t>
      </w:r>
    </w:p>
    <w:p>
      <w:pPr>
        <w:autoSpaceDN w:val="0"/>
        <w:tabs>
          <w:tab w:pos="1226" w:val="left"/>
        </w:tabs>
        <w:autoSpaceDE w:val="0"/>
        <w:widowControl/>
        <w:spacing w:line="187" w:lineRule="auto" w:before="42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Lastly, future research should examine the heterogeneous associations of additional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1520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environmental risk factors—such as parenting behavior (102) and early life stress (99)—as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1521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primary exposures to elucidate their potential effects on psychiatric disorders. Investigating how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1522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genetic and neural correlates interact with these risk factors will also advance our understanding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1523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their unique contributions to individual differences in psychopathology. </w:t>
      </w:r>
    </w:p>
    <w:p>
      <w:pPr>
        <w:autoSpaceDN w:val="0"/>
        <w:autoSpaceDE w:val="0"/>
        <w:widowControl/>
        <w:spacing w:line="180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1524 </w:t>
      </w:r>
    </w:p>
    <w:p>
      <w:pPr>
        <w:autoSpaceDN w:val="0"/>
        <w:autoSpaceDE w:val="0"/>
        <w:widowControl/>
        <w:spacing w:line="180" w:lineRule="auto" w:before="43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1525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1526 </w:t>
      </w:r>
    </w:p>
    <w:p>
      <w:pPr>
        <w:sectPr>
          <w:pgSz w:w="11905" w:h="16840"/>
          <w:pgMar w:top="960" w:right="1190" w:bottom="144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2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216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1527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Supplementary Tables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17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1528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Table S1. Exploratory analysis of psychopathologies associated with delay discounting.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an exploratory analysis to find the which symptom is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specifically associated with delay discounting among various psychopathologies, we conducted partial correlation analysis. PLEs were derived from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1530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Prodromal Questionnaire-Brief Child Version (53) and other psychiatric symptoms were assessed with the Child Behavior Checklist (CBCL) (185). We used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1531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clinical diagnosis of each symptom based on the CBCL t-scores. These included internalizing problems, externalizing problems, total problems, and CBCL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1532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DSM-5 scales of depression, anxiety disorders, oppositional defiant, conduct problems, and attention deficit/hyperactivity disorder (ADHD). Estimates of </w:t>
      </w:r>
    </w:p>
    <w:p>
      <w:pPr>
        <w:autoSpaceDN w:val="0"/>
        <w:tabs>
          <w:tab w:pos="800" w:val="left"/>
        </w:tabs>
        <w:autoSpaceDE w:val="0"/>
        <w:widowControl/>
        <w:spacing w:line="180" w:lineRule="auto" w:before="314" w:after="628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1533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Spearman </w:t>
      </w:r>
      <w:r>
        <w:rPr>
          <w:rFonts w:ascii="Malgun Gothic" w:hAnsi="Malgun Gothic" w:eastAsia="Malgun Gothic"/>
          <w:b w:val="0"/>
          <w:i w:val="0"/>
          <w:color w:val="000000"/>
          <w:sz w:val="24"/>
        </w:rPr>
        <w:t>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multiple corrected p-values using false discovery rate are presented.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1.9999999999999" w:type="dxa"/>
      </w:tblPr>
      <w:tblGrid>
        <w:gridCol w:w="3182"/>
        <w:gridCol w:w="3182"/>
        <w:gridCol w:w="3182"/>
        <w:gridCol w:w="3182"/>
        <w:gridCol w:w="3182"/>
      </w:tblGrid>
      <w:tr>
        <w:trPr>
          <w:trHeight w:hRule="exact" w:val="532"/>
        </w:trPr>
        <w:tc>
          <w:tcPr>
            <w:tcW w:type="dxa" w:w="7622"/>
            <w:gridSpan w:val="2"/>
            <w:tcBorders>
              <w:start w:sz="17.600000000000023" w:val="single" w:color="#000000"/>
              <w:top w:sz="18.399999999999636" w:val="single" w:color="#000000"/>
              <w:end w:sz="17.600000000000364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88"/>
            <w:tcBorders>
              <w:start w:sz="17.600000000000364" w:val="single" w:color="#000000"/>
              <w:top w:sz="18.399999999999636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Spearman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>ρ</w:t>
            </w:r>
          </w:p>
        </w:tc>
        <w:tc>
          <w:tcPr>
            <w:tcW w:type="dxa" w:w="1988"/>
            <w:tcBorders>
              <w:start w:sz="4.0" w:val="single" w:color="#000000"/>
              <w:top w:sz="18.399999999999636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t-statistic </w:t>
            </w:r>
          </w:p>
        </w:tc>
        <w:tc>
          <w:tcPr>
            <w:tcW w:type="dxa" w:w="2264"/>
            <w:tcBorders>
              <w:start w:sz="4.0" w:val="single" w:color="#000000"/>
              <w:top w:sz="18.399999999999636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p-FDR </w:t>
            </w:r>
          </w:p>
        </w:tc>
      </w:tr>
      <w:tr>
        <w:trPr>
          <w:trHeight w:hRule="exact" w:val="516"/>
        </w:trPr>
        <w:tc>
          <w:tcPr>
            <w:tcW w:type="dxa" w:w="1960"/>
            <w:vMerge w:val="restart"/>
            <w:tcBorders>
              <w:start w:sz="17.600000000000023" w:val="single" w:color="#000000"/>
              <w:top w:sz="18.399999999999636" w:val="single" w:color="#000000"/>
              <w:end w:sz="18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PLEs </w:t>
            </w:r>
          </w:p>
        </w:tc>
        <w:tc>
          <w:tcPr>
            <w:tcW w:type="dxa" w:w="5662"/>
            <w:tcBorders>
              <w:start w:sz="18.399999999999864" w:val="single" w:color="#000000"/>
              <w:top w:sz="18.399999999999636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Distress Score PLE (1-year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-0.058 </w:t>
            </w:r>
          </w:p>
        </w:tc>
        <w:tc>
          <w:tcPr>
            <w:tcW w:type="dxa" w:w="1988"/>
            <w:tcBorders>
              <w:start w:sz="4.0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-2.808 </w:t>
            </w:r>
          </w:p>
        </w:tc>
        <w:tc>
          <w:tcPr>
            <w:tcW w:type="dxa" w:w="2264"/>
            <w:tcBorders>
              <w:start w:sz="4.0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0.035 </w:t>
            </w:r>
          </w:p>
        </w:tc>
      </w:tr>
      <w:tr>
        <w:trPr>
          <w:trHeight w:hRule="exact" w:val="496"/>
        </w:trPr>
        <w:tc>
          <w:tcPr>
            <w:tcW w:type="dxa" w:w="3182"/>
            <w:vMerge/>
            <w:tcBorders>
              <w:start w:sz="17.600000000000023" w:val="single" w:color="#000000"/>
              <w:top w:sz="18.399999999999636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Distress Score PLE (2-year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-0.067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-3.246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0.024 </w:t>
            </w:r>
          </w:p>
        </w:tc>
      </w:tr>
      <w:tr>
        <w:trPr>
          <w:trHeight w:hRule="exact" w:val="500"/>
        </w:trPr>
        <w:tc>
          <w:tcPr>
            <w:tcW w:type="dxa" w:w="3182"/>
            <w:vMerge/>
            <w:tcBorders>
              <w:start w:sz="17.600000000000023" w:val="single" w:color="#000000"/>
              <w:top w:sz="18.399999999999636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Delusional Score PLE (1-year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-0.064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-3.091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0.024 </w:t>
            </w:r>
          </w:p>
        </w:tc>
      </w:tr>
      <w:tr>
        <w:trPr>
          <w:trHeight w:hRule="exact" w:val="494"/>
        </w:trPr>
        <w:tc>
          <w:tcPr>
            <w:tcW w:type="dxa" w:w="3182"/>
            <w:vMerge/>
            <w:tcBorders>
              <w:start w:sz="17.600000000000023" w:val="single" w:color="#000000"/>
              <w:top w:sz="18.399999999999636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Delusional Score PLE (2-year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-0.057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-2.761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0.035 </w:t>
            </w:r>
          </w:p>
        </w:tc>
      </w:tr>
      <w:tr>
        <w:trPr>
          <w:trHeight w:hRule="exact" w:val="500"/>
        </w:trPr>
        <w:tc>
          <w:tcPr>
            <w:tcW w:type="dxa" w:w="3182"/>
            <w:vMerge/>
            <w:tcBorders>
              <w:start w:sz="17.600000000000023" w:val="single" w:color="#000000"/>
              <w:top w:sz="18.399999999999636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Hallucinational Score PLE (1-year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-0.043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-2.057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0.191 </w:t>
            </w:r>
          </w:p>
        </w:tc>
      </w:tr>
      <w:tr>
        <w:trPr>
          <w:trHeight w:hRule="exact" w:val="476"/>
        </w:trPr>
        <w:tc>
          <w:tcPr>
            <w:tcW w:type="dxa" w:w="3182"/>
            <w:vMerge/>
            <w:tcBorders>
              <w:start w:sz="17.600000000000023" w:val="single" w:color="#000000"/>
              <w:top w:sz="18.399999999999636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Hallucinational Score PLE (2-year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-0.035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-1.684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0.318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0" w:h="11905"/>
          <w:pgMar w:top="960" w:right="736" w:bottom="1140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2881"/>
        <w:gridCol w:w="2881"/>
        <w:gridCol w:w="2881"/>
        <w:gridCol w:w="2881"/>
        <w:gridCol w:w="2881"/>
      </w:tblGrid>
      <w:tr>
        <w:trPr>
          <w:trHeight w:hRule="exact" w:val="540"/>
        </w:trPr>
        <w:tc>
          <w:tcPr>
            <w:tcW w:type="dxa" w:w="1960"/>
            <w:vMerge w:val="restart"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5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CBCL </w:t>
            </w:r>
          </w:p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Internalizing Problems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-0.015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-0.728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0.807 </w:t>
            </w:r>
          </w:p>
        </w:tc>
      </w:tr>
      <w:tr>
        <w:trPr>
          <w:trHeight w:hRule="exact" w:val="542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Internalizing Problems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-0.005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-0.221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0.971 </w:t>
            </w:r>
          </w:p>
        </w:tc>
      </w:tr>
      <w:tr>
        <w:trPr>
          <w:trHeight w:hRule="exact" w:val="540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Externalizing Problems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-0.003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-0.165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0.971 </w:t>
            </w:r>
          </w:p>
        </w:tc>
      </w:tr>
      <w:tr>
        <w:trPr>
          <w:trHeight w:hRule="exact" w:val="546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Externalizing Problems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0.013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0.634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0.838 </w:t>
            </w:r>
          </w:p>
        </w:tc>
      </w:tr>
      <w:tr>
        <w:trPr>
          <w:trHeight w:hRule="exact" w:val="540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Problems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-0.015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-0.721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0.807 </w:t>
            </w:r>
          </w:p>
        </w:tc>
      </w:tr>
      <w:tr>
        <w:trPr>
          <w:trHeight w:hRule="exact" w:val="540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Problems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(2-year follow-up)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0.012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0.584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0.838 </w:t>
            </w:r>
          </w:p>
        </w:tc>
      </w:tr>
      <w:tr>
        <w:trPr>
          <w:trHeight w:hRule="exact" w:val="546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DSM-5 Depression (1-year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-0.019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-0.920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0.793 </w:t>
            </w:r>
          </w:p>
        </w:tc>
      </w:tr>
      <w:tr>
        <w:trPr>
          <w:trHeight w:hRule="exact" w:val="540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DSM-5 Depression (2-year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-0.009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-0.445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0.927 </w:t>
            </w:r>
          </w:p>
        </w:tc>
      </w:tr>
      <w:tr>
        <w:trPr>
          <w:trHeight w:hRule="exact" w:val="540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DSM-5 Anxiety Disorder (1-year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-0.018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-0.848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0.793 </w:t>
            </w:r>
          </w:p>
        </w:tc>
      </w:tr>
      <w:tr>
        <w:trPr>
          <w:trHeight w:hRule="exact" w:val="544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DSM-5 Anxiety Disorder (2-year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-0.003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-0.139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0.971 </w:t>
            </w:r>
          </w:p>
        </w:tc>
      </w:tr>
      <w:tr>
        <w:trPr>
          <w:trHeight w:hRule="exact" w:val="540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DSM-5 Somatic Problems (1-year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0.003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0.143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0.971 </w:t>
            </w:r>
          </w:p>
        </w:tc>
      </w:tr>
      <w:tr>
        <w:trPr>
          <w:trHeight w:hRule="exact" w:val="540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DSM-5 Somatic Problems (2-year follow-up)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-0.022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-1.058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0.774 </w:t>
            </w:r>
          </w:p>
        </w:tc>
      </w:tr>
      <w:tr>
        <w:trPr>
          <w:trHeight w:hRule="exact" w:val="546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DSM-5 ADHD (1-year follow-up)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2.2.E-04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0.011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0.999 </w:t>
            </w:r>
          </w:p>
        </w:tc>
      </w:tr>
      <w:tr>
        <w:trPr>
          <w:trHeight w:hRule="exact" w:val="520"/>
        </w:trPr>
        <w:tc>
          <w:tcPr>
            <w:tcW w:type="dxa" w:w="2881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DSM-5 ADHD (2-year follow-up)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0.018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0.886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0.793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0" w:h="11905"/>
          <w:pgMar w:top="960" w:right="1440" w:bottom="1196" w:left="9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1.9999999999999" w:type="dxa"/>
      </w:tblPr>
      <w:tblGrid>
        <w:gridCol w:w="3182"/>
        <w:gridCol w:w="3182"/>
        <w:gridCol w:w="3182"/>
        <w:gridCol w:w="3182"/>
        <w:gridCol w:w="3182"/>
      </w:tblGrid>
      <w:tr>
        <w:trPr>
          <w:trHeight w:hRule="exact" w:val="540"/>
        </w:trPr>
        <w:tc>
          <w:tcPr>
            <w:tcW w:type="dxa" w:w="1960"/>
            <w:vMerge w:val="restart"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DSM-5 Oppositional Defiant (1-year follow-up) 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-0.035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-1.682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0.318 </w:t>
            </w:r>
          </w:p>
        </w:tc>
      </w:tr>
      <w:tr>
        <w:trPr>
          <w:trHeight w:hRule="exact" w:val="542"/>
        </w:trPr>
        <w:tc>
          <w:tcPr>
            <w:tcW w:type="dxa" w:w="3182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DSM-5 Oppositional Defiant (2-year follow-up)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3.68.E-05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0.002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0.999 </w:t>
            </w:r>
          </w:p>
        </w:tc>
      </w:tr>
      <w:tr>
        <w:trPr>
          <w:trHeight w:hRule="exact" w:val="540"/>
        </w:trPr>
        <w:tc>
          <w:tcPr>
            <w:tcW w:type="dxa" w:w="3182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DSM-5 Conduct Problems (1-year follow-up)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-0.022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-1.061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0.774 </w:t>
            </w:r>
          </w:p>
        </w:tc>
      </w:tr>
      <w:tr>
        <w:trPr>
          <w:trHeight w:hRule="exact" w:val="546"/>
        </w:trPr>
        <w:tc>
          <w:tcPr>
            <w:tcW w:type="dxa" w:w="3182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566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DSM-5 Conduct Problems (2-year follow-up)</w:t>
            </w:r>
          </w:p>
        </w:tc>
        <w:tc>
          <w:tcPr>
            <w:tcW w:type="dxa" w:w="198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0.007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0.346 </w:t>
            </w:r>
          </w:p>
        </w:tc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0.971 </w:t>
            </w:r>
          </w:p>
        </w:tc>
      </w:tr>
    </w:tbl>
    <w:p>
      <w:pPr>
        <w:autoSpaceDN w:val="0"/>
        <w:autoSpaceDE w:val="0"/>
        <w:widowControl/>
        <w:spacing w:line="180" w:lineRule="auto" w:before="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1534 </w:t>
      </w:r>
    </w:p>
    <w:p>
      <w:pPr>
        <w:autoSpaceDN w:val="0"/>
        <w:autoSpaceDE w:val="0"/>
        <w:widowControl/>
        <w:spacing w:line="180" w:lineRule="auto" w:before="5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1535 </w:t>
      </w:r>
    </w:p>
    <w:p>
      <w:pPr>
        <w:autoSpaceDN w:val="0"/>
        <w:autoSpaceDE w:val="0"/>
        <w:widowControl/>
        <w:spacing w:line="180" w:lineRule="auto" w:before="3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1536 </w:t>
      </w:r>
    </w:p>
    <w:p>
      <w:pPr>
        <w:autoSpaceDN w:val="0"/>
        <w:autoSpaceDE w:val="0"/>
        <w:widowControl/>
        <w:spacing w:line="180" w:lineRule="auto" w:before="3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1537 </w:t>
      </w:r>
    </w:p>
    <w:p>
      <w:pPr>
        <w:autoSpaceDN w:val="0"/>
        <w:autoSpaceDE w:val="0"/>
        <w:widowControl/>
        <w:spacing w:line="178" w:lineRule="auto" w:before="39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1538 </w:t>
      </w:r>
    </w:p>
    <w:p>
      <w:pPr>
        <w:autoSpaceDN w:val="0"/>
        <w:autoSpaceDE w:val="0"/>
        <w:widowControl/>
        <w:spacing w:line="180" w:lineRule="auto" w:before="3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1539 </w:t>
      </w:r>
    </w:p>
    <w:p>
      <w:pPr>
        <w:autoSpaceDN w:val="0"/>
        <w:autoSpaceDE w:val="0"/>
        <w:widowControl/>
        <w:spacing w:line="180" w:lineRule="auto" w:before="3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1540 </w:t>
      </w:r>
    </w:p>
    <w:p>
      <w:pPr>
        <w:autoSpaceDN w:val="0"/>
        <w:tabs>
          <w:tab w:pos="800" w:val="left"/>
        </w:tabs>
        <w:autoSpaceDE w:val="0"/>
        <w:widowControl/>
        <w:spacing w:line="278" w:lineRule="auto" w:before="40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1541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Table S2. E-values for Average Effects from IV Forest.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calculated E-values for the average effects estimated from the IV Forest model. The E-values </w:t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1542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quantify the minimal strength of association that unobserved confounders, conditional on the observed covariates, would require with both the exposure (ADI) </w:t>
      </w:r>
    </w:p>
    <w:p>
      <w:pPr>
        <w:sectPr>
          <w:pgSz w:w="16840" w:h="11905"/>
          <w:pgMar w:top="960" w:right="736" w:bottom="1128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3"/>
        <w:gridCol w:w="7953"/>
      </w:tblGrid>
      <w:tr>
        <w:trPr>
          <w:trHeight w:hRule="exact" w:val="330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1543 </w:t>
            </w:r>
          </w:p>
        </w:tc>
        <w:tc>
          <w:tcPr>
            <w:tcW w:type="dxa" w:w="1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the outcomes (delay discounting or PLEs) to potentially nullify the observed relationships (68). </w:t>
            </w:r>
          </w:p>
        </w:tc>
      </w:tr>
    </w:tbl>
    <w:p>
      <w:pPr>
        <w:autoSpaceDN w:val="0"/>
        <w:autoSpaceDE w:val="0"/>
        <w:widowControl/>
        <w:spacing w:line="3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28.0" w:type="dxa"/>
      </w:tblPr>
      <w:tblGrid>
        <w:gridCol w:w="5302"/>
        <w:gridCol w:w="5302"/>
        <w:gridCol w:w="5302"/>
      </w:tblGrid>
      <w:tr>
        <w:trPr>
          <w:trHeight w:hRule="exact" w:val="530"/>
        </w:trPr>
        <w:tc>
          <w:tcPr>
            <w:tcW w:type="dxa" w:w="2666"/>
            <w:tcBorders>
              <w:start w:sz="17.600000000000136" w:val="single" w:color="#000000"/>
              <w:top w:sz="17.600000000000136" w:val="single" w:color="#000000"/>
              <w:end w:sz="17.600000000000364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tcBorders>
              <w:start w:sz="17.600000000000364" w:val="single" w:color="#000000"/>
              <w:top w:sz="17.600000000000136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E-Values </w:t>
            </w:r>
          </w:p>
        </w:tc>
        <w:tc>
          <w:tcPr>
            <w:tcW w:type="dxa" w:w="3202"/>
            <w:tcBorders>
              <w:start w:sz="4.0" w:val="single" w:color="#000000"/>
              <w:top w:sz="17.600000000000136" w:val="single" w:color="#000000"/>
              <w:end w:sz="18.400000000000546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5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E-value for Upper 95% CI </w:t>
            </w:r>
          </w:p>
        </w:tc>
      </w:tr>
      <w:tr>
        <w:trPr>
          <w:trHeight w:hRule="exact" w:val="518"/>
        </w:trPr>
        <w:tc>
          <w:tcPr>
            <w:tcW w:type="dxa" w:w="2666"/>
            <w:tcBorders>
              <w:start w:sz="17.600000000000136" w:val="single" w:color="#000000"/>
              <w:top w:sz="17.600000000000136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Delay Discounting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2098"/>
            <w:tcBorders>
              <w:start w:sz="17.600000000000364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9.13 </w:t>
            </w:r>
          </w:p>
        </w:tc>
        <w:tc>
          <w:tcPr>
            <w:tcW w:type="dxa" w:w="3202"/>
            <w:tcBorders>
              <w:start w:sz="4.0" w:val="single" w:color="#000000"/>
              <w:top w:sz="17.600000000000136" w:val="single" w:color="#000000"/>
              <w:end w:sz="18.40000000000054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1.87 </w:t>
            </w:r>
          </w:p>
        </w:tc>
      </w:tr>
      <w:tr>
        <w:trPr>
          <w:trHeight w:hRule="exact" w:val="494"/>
        </w:trPr>
        <w:tc>
          <w:tcPr>
            <w:tcW w:type="dxa" w:w="2666"/>
            <w:tcBorders>
              <w:start w:sz="17.600000000000136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Distress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209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10.46 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18.40000000000054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13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3.1 </w:t>
            </w:r>
          </w:p>
        </w:tc>
      </w:tr>
      <w:tr>
        <w:trPr>
          <w:trHeight w:hRule="exact" w:val="500"/>
        </w:trPr>
        <w:tc>
          <w:tcPr>
            <w:tcW w:type="dxa" w:w="2666"/>
            <w:tcBorders>
              <w:start w:sz="17.600000000000136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Distress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(2-year follow-up) </w:t>
            </w:r>
          </w:p>
        </w:tc>
        <w:tc>
          <w:tcPr>
            <w:tcW w:type="dxa" w:w="209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7.32 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18.40000000000054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2.08 </w:t>
            </w:r>
          </w:p>
        </w:tc>
      </w:tr>
      <w:tr>
        <w:trPr>
          <w:trHeight w:hRule="exact" w:val="496"/>
        </w:trPr>
        <w:tc>
          <w:tcPr>
            <w:tcW w:type="dxa" w:w="2666"/>
            <w:tcBorders>
              <w:start w:sz="17.600000000000136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209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457.03 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18.40000000000054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1.89 </w:t>
            </w:r>
          </w:p>
        </w:tc>
      </w:tr>
      <w:tr>
        <w:trPr>
          <w:trHeight w:hRule="exact" w:val="500"/>
        </w:trPr>
        <w:tc>
          <w:tcPr>
            <w:tcW w:type="dxa" w:w="2666"/>
            <w:tcBorders>
              <w:start w:sz="17.600000000000136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(2-year follow-up) </w:t>
            </w:r>
          </w:p>
        </w:tc>
        <w:tc>
          <w:tcPr>
            <w:tcW w:type="dxa" w:w="209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77.22 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18.40000000000054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1.52 </w:t>
            </w:r>
          </w:p>
        </w:tc>
      </w:tr>
      <w:tr>
        <w:trPr>
          <w:trHeight w:hRule="exact" w:val="496"/>
        </w:trPr>
        <w:tc>
          <w:tcPr>
            <w:tcW w:type="dxa" w:w="2666"/>
            <w:tcBorders>
              <w:start w:sz="17.600000000000136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2098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60.79 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18.40000000000054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1.24 </w:t>
            </w:r>
          </w:p>
        </w:tc>
      </w:tr>
      <w:tr>
        <w:trPr>
          <w:trHeight w:hRule="exact" w:val="512"/>
        </w:trPr>
        <w:tc>
          <w:tcPr>
            <w:tcW w:type="dxa" w:w="2666"/>
            <w:tcBorders>
              <w:start w:sz="17.600000000000136" w:val="single" w:color="#000000"/>
              <w:top w:sz="4.0" w:val="single" w:color="#000000"/>
              <w:end w:sz="17.60000000000036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(2-year follow-up) </w:t>
            </w:r>
          </w:p>
        </w:tc>
        <w:tc>
          <w:tcPr>
            <w:tcW w:type="dxa" w:w="2098"/>
            <w:tcBorders>
              <w:start w:sz="17.600000000000364" w:val="single" w:color="#000000"/>
              <w:top w:sz="4.0" w:val="single" w:color="#000000"/>
              <w:end w:sz="4.0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155.27 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18.400000000000546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5.12 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1544 </w:t>
      </w:r>
    </w:p>
    <w:p>
      <w:pPr>
        <w:autoSpaceDN w:val="0"/>
        <w:autoSpaceDE w:val="0"/>
        <w:widowControl/>
        <w:spacing w:line="178" w:lineRule="auto" w:before="43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1545 </w:t>
      </w:r>
    </w:p>
    <w:p>
      <w:pPr>
        <w:autoSpaceDN w:val="0"/>
        <w:autoSpaceDE w:val="0"/>
        <w:widowControl/>
        <w:spacing w:line="180" w:lineRule="auto" w:before="43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1546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1547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Table S3. Results of linear IV regression.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Conventional linear IV regression was conducted to confirm the average effects of neighborhood socioeconomic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1548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adversity on children’s delay discounting and PLEs. All p-values were corrected for multiple comparison using false discovery rate.</w:t>
      </w:r>
    </w:p>
    <w:p>
      <w:pPr>
        <w:sectPr>
          <w:pgSz w:w="16840" w:h="11905"/>
          <w:pgMar w:top="960" w:right="738" w:bottom="1162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1.9999999999999" w:type="dxa"/>
      </w:tblPr>
      <w:tblGrid>
        <w:gridCol w:w="2272"/>
        <w:gridCol w:w="2272"/>
        <w:gridCol w:w="2272"/>
        <w:gridCol w:w="2272"/>
        <w:gridCol w:w="2272"/>
        <w:gridCol w:w="2272"/>
        <w:gridCol w:w="2272"/>
      </w:tblGrid>
      <w:tr>
        <w:trPr>
          <w:trHeight w:hRule="exact" w:val="404"/>
        </w:trPr>
        <w:tc>
          <w:tcPr>
            <w:tcW w:type="dxa" w:w="5362"/>
            <w:gridSpan w:val="2"/>
            <w:vMerge w:val="restart"/>
            <w:tcBorders>
              <w:start w:sz="17.600000000000023" w:val="single" w:color="#000000"/>
              <w:top w:sz="18.399999999999977" w:val="single" w:color="#000000"/>
              <w:end w:sz="17.600000000000364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642"/>
            <w:gridSpan w:val="5"/>
            <w:tcBorders>
              <w:start w:sz="17.600000000000364" w:val="single" w:color="#000000"/>
              <w:top w:sz="18.399999999999977" w:val="single" w:color="#000000"/>
              <w:end w:sz="17.600000000000364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Conventional Linear IV Regression </w:t>
            </w:r>
          </w:p>
        </w:tc>
      </w:tr>
      <w:tr>
        <w:trPr>
          <w:trHeight w:hRule="exact" w:val="406"/>
        </w:trPr>
        <w:tc>
          <w:tcPr>
            <w:tcW w:type="dxa" w:w="4544"/>
            <w:gridSpan w:val="2"/>
            <w:vMerge/>
            <w:tcBorders>
              <w:start w:sz="17.600000000000023" w:val="single" w:color="#000000"/>
              <w:top w:sz="18.399999999999977" w:val="single" w:color="#000000"/>
              <w:end w:sz="17.600000000000364" w:val="single" w:color="#000000"/>
              <w:bottom w:sz="17.600000000000136" w:val="single" w:color="#000000"/>
            </w:tcBorders>
          </w:tcPr>
          <w:p/>
        </w:tc>
        <w:tc>
          <w:tcPr>
            <w:tcW w:type="dxa" w:w="1932"/>
            <w:tcBorders>
              <w:start w:sz="17.600000000000364" w:val="single" w:color="#000000"/>
              <w:top w:sz="17.600000000000023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Estimates </w:t>
            </w:r>
          </w:p>
        </w:tc>
        <w:tc>
          <w:tcPr>
            <w:tcW w:type="dxa" w:w="1930"/>
            <w:tcBorders>
              <w:start w:sz="4.0" w:val="single" w:color="#000000"/>
              <w:top w:sz="17.600000000000023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Std. Error </w:t>
            </w:r>
          </w:p>
        </w:tc>
        <w:tc>
          <w:tcPr>
            <w:tcW w:type="dxa" w:w="1936"/>
            <w:tcBorders>
              <w:start w:sz="4.0" w:val="single" w:color="#000000"/>
              <w:top w:sz="17.600000000000023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95% Lower CI </w:t>
            </w:r>
          </w:p>
        </w:tc>
        <w:tc>
          <w:tcPr>
            <w:tcW w:type="dxa" w:w="1922"/>
            <w:tcBorders>
              <w:start w:sz="4.0" w:val="single" w:color="#000000"/>
              <w:top w:sz="17.600000000000023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95% Upper CI </w:t>
            </w:r>
          </w:p>
        </w:tc>
        <w:tc>
          <w:tcPr>
            <w:tcW w:type="dxa" w:w="1922"/>
            <w:tcBorders>
              <w:start w:sz="4.0" w:val="single" w:color="#000000"/>
              <w:top w:sz="17.600000000000023" w:val="single" w:color="#000000"/>
              <w:end w:sz="17.600000000000364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P-FDR </w:t>
            </w:r>
          </w:p>
        </w:tc>
      </w:tr>
      <w:tr>
        <w:trPr>
          <w:trHeight w:hRule="exact" w:val="388"/>
        </w:trPr>
        <w:tc>
          <w:tcPr>
            <w:tcW w:type="dxa" w:w="5362"/>
            <w:gridSpan w:val="2"/>
            <w:tcBorders>
              <w:start w:sz="17.600000000000023" w:val="single" w:color="#000000"/>
              <w:top w:sz="17.600000000000136" w:val="single" w:color="#000000"/>
              <w:end w:sz="17.600000000000364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Delay Discounting </w:t>
            </w:r>
          </w:p>
        </w:tc>
        <w:tc>
          <w:tcPr>
            <w:tcW w:type="dxa" w:w="1932"/>
            <w:tcBorders>
              <w:start w:sz="17.600000000000364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-0.468 </w:t>
            </w:r>
          </w:p>
        </w:tc>
        <w:tc>
          <w:tcPr>
            <w:tcW w:type="dxa" w:w="1930"/>
            <w:tcBorders>
              <w:start w:sz="4.0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0.216 </w:t>
            </w:r>
          </w:p>
        </w:tc>
        <w:tc>
          <w:tcPr>
            <w:tcW w:type="dxa" w:w="1936"/>
            <w:tcBorders>
              <w:start w:sz="4.0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-0.891 </w:t>
            </w:r>
          </w:p>
        </w:tc>
        <w:tc>
          <w:tcPr>
            <w:tcW w:type="dxa" w:w="1922"/>
            <w:tcBorders>
              <w:start w:sz="4.0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-0.045 </w:t>
            </w:r>
          </w:p>
        </w:tc>
        <w:tc>
          <w:tcPr>
            <w:tcW w:type="dxa" w:w="1922"/>
            <w:tcBorders>
              <w:start w:sz="4.0" w:val="single" w:color="#000000"/>
              <w:top w:sz="17.600000000000136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0.03 </w:t>
            </w:r>
          </w:p>
        </w:tc>
      </w:tr>
      <w:tr>
        <w:trPr>
          <w:trHeight w:hRule="exact" w:val="529"/>
        </w:trPr>
        <w:tc>
          <w:tcPr>
            <w:tcW w:type="dxa" w:w="1960"/>
            <w:vMerge w:val="restart"/>
            <w:tcBorders>
              <w:start w:sz="17.600000000000023" w:val="single" w:color="#000000"/>
              <w:top w:sz="18.399999999999864" w:val="single" w:color="#000000"/>
              <w:end w:sz="18.39999999999986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PLEs </w:t>
            </w:r>
          </w:p>
        </w:tc>
        <w:tc>
          <w:tcPr>
            <w:tcW w:type="dxa" w:w="3402"/>
            <w:tcBorders>
              <w:start w:sz="18.399999999999864" w:val="single" w:color="#000000"/>
              <w:top w:sz="18.399999999999864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720" w:right="72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Distress Score PLE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1932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0.609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0.224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0.170 </w:t>
            </w:r>
          </w:p>
        </w:tc>
        <w:tc>
          <w:tcPr>
            <w:tcW w:type="dxa" w:w="19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1.047 </w:t>
            </w:r>
          </w:p>
        </w:tc>
        <w:tc>
          <w:tcPr>
            <w:tcW w:type="dxa" w:w="192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0.011 </w:t>
            </w:r>
          </w:p>
        </w:tc>
      </w:tr>
      <w:tr>
        <w:trPr>
          <w:trHeight w:hRule="exact" w:val="494"/>
        </w:trPr>
        <w:tc>
          <w:tcPr>
            <w:tcW w:type="dxa" w:w="2272"/>
            <w:vMerge/>
            <w:tcBorders>
              <w:start w:sz="17.600000000000023" w:val="single" w:color="#000000"/>
              <w:top w:sz="18.399999999999864" w:val="single" w:color="#000000"/>
              <w:end w:sz="18.399999999999864" w:val="single" w:color="#000000"/>
              <w:bottom w:sz="17.600000000000364" w:val="single" w:color="#000000"/>
            </w:tcBorders>
          </w:tcPr>
          <w:p/>
        </w:tc>
        <w:tc>
          <w:tcPr>
            <w:tcW w:type="dxa" w:w="340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20" w:right="72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Distress Score PLE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(2-year follow-up) </w:t>
            </w:r>
          </w:p>
        </w:tc>
        <w:tc>
          <w:tcPr>
            <w:tcW w:type="dxa" w:w="1932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0.780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0.234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0.320 </w:t>
            </w:r>
          </w:p>
        </w:tc>
        <w:tc>
          <w:tcPr>
            <w:tcW w:type="dxa" w:w="19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1.239 </w:t>
            </w:r>
          </w:p>
        </w:tc>
        <w:tc>
          <w:tcPr>
            <w:tcW w:type="dxa" w:w="192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0.003 </w:t>
            </w:r>
          </w:p>
        </w:tc>
      </w:tr>
      <w:tr>
        <w:trPr>
          <w:trHeight w:hRule="exact" w:val="456"/>
        </w:trPr>
        <w:tc>
          <w:tcPr>
            <w:tcW w:type="dxa" w:w="2272"/>
            <w:vMerge/>
            <w:tcBorders>
              <w:start w:sz="17.600000000000023" w:val="single" w:color="#000000"/>
              <w:top w:sz="18.399999999999864" w:val="single" w:color="#000000"/>
              <w:end w:sz="18.399999999999864" w:val="single" w:color="#000000"/>
              <w:bottom w:sz="17.600000000000364" w:val="single" w:color="#000000"/>
            </w:tcBorders>
          </w:tcPr>
          <w:p/>
        </w:tc>
        <w:tc>
          <w:tcPr>
            <w:tcW w:type="dxa" w:w="340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2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(1-year follow-up)</w:t>
            </w:r>
          </w:p>
        </w:tc>
        <w:tc>
          <w:tcPr>
            <w:tcW w:type="dxa" w:w="1932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0.486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0.215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0.066 </w:t>
            </w:r>
          </w:p>
        </w:tc>
        <w:tc>
          <w:tcPr>
            <w:tcW w:type="dxa" w:w="19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0.906 </w:t>
            </w:r>
          </w:p>
        </w:tc>
        <w:tc>
          <w:tcPr>
            <w:tcW w:type="dxa" w:w="192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0.028 </w:t>
            </w:r>
          </w:p>
        </w:tc>
      </w:tr>
      <w:tr>
        <w:trPr>
          <w:trHeight w:hRule="exact" w:val="454"/>
        </w:trPr>
        <w:tc>
          <w:tcPr>
            <w:tcW w:type="dxa" w:w="2272"/>
            <w:vMerge/>
            <w:tcBorders>
              <w:start w:sz="17.600000000000023" w:val="single" w:color="#000000"/>
              <w:top w:sz="18.399999999999864" w:val="single" w:color="#000000"/>
              <w:end w:sz="18.399999999999864" w:val="single" w:color="#000000"/>
              <w:bottom w:sz="17.600000000000364" w:val="single" w:color="#000000"/>
            </w:tcBorders>
          </w:tcPr>
          <w:p/>
        </w:tc>
        <w:tc>
          <w:tcPr>
            <w:tcW w:type="dxa" w:w="340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2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(2-year follow-up)</w:t>
            </w:r>
          </w:p>
        </w:tc>
        <w:tc>
          <w:tcPr>
            <w:tcW w:type="dxa" w:w="1932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0.578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0.223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0.141 </w:t>
            </w:r>
          </w:p>
        </w:tc>
        <w:tc>
          <w:tcPr>
            <w:tcW w:type="dxa" w:w="19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1.015 </w:t>
            </w:r>
          </w:p>
        </w:tc>
        <w:tc>
          <w:tcPr>
            <w:tcW w:type="dxa" w:w="192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0.013 </w:t>
            </w:r>
          </w:p>
        </w:tc>
      </w:tr>
      <w:tr>
        <w:trPr>
          <w:trHeight w:hRule="exact" w:val="452"/>
        </w:trPr>
        <w:tc>
          <w:tcPr>
            <w:tcW w:type="dxa" w:w="2272"/>
            <w:vMerge/>
            <w:tcBorders>
              <w:start w:sz="17.600000000000023" w:val="single" w:color="#000000"/>
              <w:top w:sz="18.399999999999864" w:val="single" w:color="#000000"/>
              <w:end w:sz="18.399999999999864" w:val="single" w:color="#000000"/>
              <w:bottom w:sz="17.600000000000364" w:val="single" w:color="#000000"/>
            </w:tcBorders>
          </w:tcPr>
          <w:p/>
        </w:tc>
        <w:tc>
          <w:tcPr>
            <w:tcW w:type="dxa" w:w="340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(1-year follow-up)</w:t>
            </w:r>
          </w:p>
        </w:tc>
        <w:tc>
          <w:tcPr>
            <w:tcW w:type="dxa" w:w="1932"/>
            <w:tcBorders>
              <w:start w:sz="17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0.604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0.221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0.172 </w:t>
            </w:r>
          </w:p>
        </w:tc>
        <w:tc>
          <w:tcPr>
            <w:tcW w:type="dxa" w:w="19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1.036 </w:t>
            </w:r>
          </w:p>
        </w:tc>
        <w:tc>
          <w:tcPr>
            <w:tcW w:type="dxa" w:w="192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0.011 </w:t>
            </w:r>
          </w:p>
        </w:tc>
      </w:tr>
      <w:tr>
        <w:trPr>
          <w:trHeight w:hRule="exact" w:val="472"/>
        </w:trPr>
        <w:tc>
          <w:tcPr>
            <w:tcW w:type="dxa" w:w="2272"/>
            <w:vMerge/>
            <w:tcBorders>
              <w:start w:sz="17.600000000000023" w:val="single" w:color="#000000"/>
              <w:top w:sz="18.399999999999864" w:val="single" w:color="#000000"/>
              <w:end w:sz="18.399999999999864" w:val="single" w:color="#000000"/>
              <w:bottom w:sz="17.600000000000364" w:val="single" w:color="#000000"/>
            </w:tcBorders>
          </w:tcPr>
          <w:p/>
        </w:tc>
        <w:tc>
          <w:tcPr>
            <w:tcW w:type="dxa" w:w="3402"/>
            <w:tcBorders>
              <w:start w:sz="18.399999999999864" w:val="single" w:color="#000000"/>
              <w:top w:sz="4.0" w:val="single" w:color="#000000"/>
              <w:end w:sz="17.60000000000036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(2-year follow-up)</w:t>
            </w:r>
          </w:p>
        </w:tc>
        <w:tc>
          <w:tcPr>
            <w:tcW w:type="dxa" w:w="1932"/>
            <w:tcBorders>
              <w:start w:sz="17.600000000000364" w:val="single" w:color="#000000"/>
              <w:top w:sz="4.0" w:val="single" w:color="#000000"/>
              <w:end w:sz="4.0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0.827 </w:t>
            </w:r>
          </w:p>
        </w:tc>
        <w:tc>
          <w:tcPr>
            <w:tcW w:type="dxa" w:w="1930"/>
            <w:tcBorders>
              <w:start w:sz="4.0" w:val="single" w:color="#000000"/>
              <w:top w:sz="4.0" w:val="single" w:color="#000000"/>
              <w:end w:sz="4.0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0.241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0.354 </w:t>
            </w:r>
          </w:p>
        </w:tc>
        <w:tc>
          <w:tcPr>
            <w:tcW w:type="dxa" w:w="1922"/>
            <w:tcBorders>
              <w:start w:sz="4.0" w:val="single" w:color="#000000"/>
              <w:top w:sz="4.0" w:val="single" w:color="#000000"/>
              <w:end w:sz="4.0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1.299 </w:t>
            </w:r>
          </w:p>
        </w:tc>
        <w:tc>
          <w:tcPr>
            <w:tcW w:type="dxa" w:w="1922"/>
            <w:tcBorders>
              <w:start w:sz="4.0" w:val="single" w:color="#000000"/>
              <w:top w:sz="4.0" w:val="single" w:color="#000000"/>
              <w:end w:sz="17.60000000000036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0.003 </w:t>
            </w:r>
          </w:p>
        </w:tc>
      </w:tr>
    </w:tbl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1549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1550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1551 </w:t>
      </w:r>
    </w:p>
    <w:p>
      <w:pPr>
        <w:autoSpaceDN w:val="0"/>
        <w:autoSpaceDE w:val="0"/>
        <w:widowControl/>
        <w:spacing w:line="180" w:lineRule="auto" w:before="43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1552 </w:t>
      </w:r>
    </w:p>
    <w:p>
      <w:pPr>
        <w:autoSpaceDN w:val="0"/>
        <w:tabs>
          <w:tab w:pos="800" w:val="left"/>
          <w:tab w:pos="1224" w:val="left"/>
        </w:tabs>
        <w:autoSpaceDE w:val="0"/>
        <w:widowControl/>
        <w:spacing w:line="264" w:lineRule="auto" w:before="43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1553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Double ML models </w:t>
      </w:r>
      <w:r>
        <w:br/>
      </w: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1554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confirm robustness of the IV Forest results, we used double machine learning (Double ML). This up-to-date causal machine learning method can </w:t>
      </w:r>
    </w:p>
    <w:p>
      <w:pPr>
        <w:sectPr>
          <w:pgSz w:w="16840" w:h="11905"/>
          <w:pgMar w:top="960" w:right="740" w:bottom="1178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3"/>
        <w:gridCol w:w="5303"/>
        <w:gridCol w:w="5303"/>
      </w:tblGrid>
      <w:tr>
        <w:trPr>
          <w:trHeight w:hRule="exact" w:val="2142"/>
        </w:trPr>
        <w:tc>
          <w:tcPr>
            <w:tcW w:type="dxa" w:w="6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1555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1556 </w:t>
            </w:r>
          </w:p>
          <w:p>
            <w:pPr>
              <w:autoSpaceDN w:val="0"/>
              <w:autoSpaceDE w:val="0"/>
              <w:widowControl/>
              <w:spacing w:line="307" w:lineRule="auto" w:before="432" w:after="0"/>
              <w:ind w:left="0" w:right="134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1557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1558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1559 </w:t>
            </w:r>
          </w:p>
          <w:p>
            <w:pPr>
              <w:autoSpaceDN w:val="0"/>
              <w:autoSpaceDE w:val="0"/>
              <w:widowControl/>
              <w:spacing w:line="180" w:lineRule="auto" w:before="448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1560 </w:t>
            </w:r>
          </w:p>
          <w:p>
            <w:pPr>
              <w:autoSpaceDN w:val="0"/>
              <w:autoSpaceDE w:val="0"/>
              <w:widowControl/>
              <w:spacing w:line="326" w:lineRule="auto" w:before="452" w:after="0"/>
              <w:ind w:left="0" w:right="134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1561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1562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1563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1564 </w:t>
            </w:r>
          </w:p>
          <w:p>
            <w:pPr>
              <w:autoSpaceDN w:val="0"/>
              <w:autoSpaceDE w:val="0"/>
              <w:widowControl/>
              <w:spacing w:line="322" w:lineRule="auto" w:before="434" w:after="0"/>
              <w:ind w:left="0" w:right="134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1565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1566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1567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1568 </w:t>
            </w:r>
          </w:p>
        </w:tc>
        <w:tc>
          <w:tcPr>
            <w:tcW w:type="dxa" w:w="1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utilize any state-of-the-art machine learning models to obtain consistent IV-based estimates of average effects by partialling out the confounding effects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covariates (70). It is particularly effective when the covariates are high-dimensional and have complex interactions. </w:t>
            </w:r>
          </w:p>
          <w:p>
            <w:pPr>
              <w:autoSpaceDN w:val="0"/>
              <w:autoSpaceDE w:val="0"/>
              <w:widowControl/>
              <w:spacing w:line="360" w:lineRule="auto" w:before="424" w:after="0"/>
              <w:ind w:left="156" w:right="0" w:firstLine="42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 used partial linear model instrumental variable model. In the partial linear model, we only assume linearity of the treatment variable ADI while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relationships between the outcome variable Y and covariates X and between instrumental variable SOI and covariates X remain as an unknown function. </w:t>
            </w:r>
          </w:p>
        </w:tc>
      </w:tr>
      <w:tr>
        <w:trPr>
          <w:trHeight w:hRule="exact" w:val="1340"/>
        </w:trPr>
        <w:tc>
          <w:tcPr>
            <w:tcW w:type="dxa" w:w="5303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2" w:val="left"/>
              </w:tabs>
              <w:autoSpaceDE w:val="0"/>
              <w:widowControl/>
              <w:spacing w:line="245" w:lineRule="auto" w:before="148" w:after="0"/>
              <w:ind w:left="15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Below shows the simple mathematical representation of the model: </w:t>
            </w:r>
            <w:r>
              <w:br/>
            </w:r>
            <w:r>
              <w:tab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𝑌=  𝜇𝐴𝐷𝐼+ 𝑔(𝑋) + 𝜀,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auto" w:before="318" w:after="0"/>
              <w:ind w:left="25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𝑆𝑂𝐼= 𝑚(𝑋) + 𝑣      (1)</w:t>
            </w:r>
          </w:p>
        </w:tc>
      </w:tr>
      <w:tr>
        <w:trPr>
          <w:trHeight w:hRule="exact" w:val="4380"/>
        </w:trPr>
        <w:tc>
          <w:tcPr>
            <w:tcW w:type="dxa" w:w="5303"/>
            <w:vMerge/>
            <w:tcBorders/>
          </w:tcPr>
          <w:p/>
        </w:tc>
        <w:tc>
          <w:tcPr>
            <w:tcW w:type="dxa" w:w="1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4" w:after="0"/>
              <w:ind w:left="156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covariates, SOI the instrumental variable.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 xml:space="preserve">𝑔(⦁), 𝑚(⦁)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are unknown functions and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𝜀, 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are random errors. In the partial linear model (Equation 1), we assume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that the treatment variable (i.e., ADI) have linear relationship with the outcome variable Y. There are no model assumptions specifying the relationship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between multidimensional covariates X, outcome Y, and the instrumental variable SOI. </w:t>
            </w:r>
          </w:p>
          <w:p>
            <w:pPr>
              <w:autoSpaceDN w:val="0"/>
              <w:autoSpaceDE w:val="0"/>
              <w:widowControl/>
              <w:spacing w:line="420" w:lineRule="auto" w:before="426" w:after="0"/>
              <w:ind w:left="156" w:right="0" w:firstLine="424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 built an ensemble machine learning pipeline consisting of elastic net, random forest, XGBoost, and support vector machine with parameters tuned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via 10-fold cross validation. In general, ensemble methods can improve model performance with lower error and higher accuracy by combining several base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models (186). For each analysis, all continuous variables were standardized (z-scaled) beforehand to obtain standardized estimates, and analyses were run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using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DoubleML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packages (69) in R version 4.1.2.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0" w:h="11905"/>
          <w:pgMar w:top="960" w:right="736" w:bottom="1052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autoSpaceDE w:val="0"/>
        <w:widowControl/>
        <w:spacing w:line="180" w:lineRule="auto" w:before="0" w:after="372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1569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4"/>
        <w:gridCol w:w="7954"/>
      </w:tblGrid>
      <w:tr>
        <w:trPr>
          <w:trHeight w:hRule="exact" w:val="390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6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1570 </w:t>
            </w:r>
          </w:p>
        </w:tc>
        <w:tc>
          <w:tcPr>
            <w:tcW w:type="dxa" w:w="1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Table S4. Results of Double ML models.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All p-values were corrected for multiple comparison using false discovery rate.</w:t>
            </w:r>
          </w:p>
        </w:tc>
      </w:tr>
    </w:tbl>
    <w:p>
      <w:pPr>
        <w:autoSpaceDN w:val="0"/>
        <w:autoSpaceDE w:val="0"/>
        <w:widowControl/>
        <w:spacing w:line="3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2.0" w:type="dxa"/>
      </w:tblPr>
      <w:tblGrid>
        <w:gridCol w:w="2651"/>
        <w:gridCol w:w="2651"/>
        <w:gridCol w:w="2651"/>
        <w:gridCol w:w="2651"/>
        <w:gridCol w:w="2651"/>
        <w:gridCol w:w="2651"/>
      </w:tblGrid>
      <w:tr>
        <w:trPr>
          <w:trHeight w:hRule="exact" w:val="404"/>
        </w:trPr>
        <w:tc>
          <w:tcPr>
            <w:tcW w:type="dxa" w:w="3926"/>
            <w:tcBorders>
              <w:start w:sz="18.399999999999864" w:val="single" w:color="#000000"/>
              <w:top w:sz="17.600000000000136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94"/>
            <w:gridSpan w:val="5"/>
            <w:tcBorders>
              <w:start w:sz="18.399999999999636" w:val="single" w:color="#000000"/>
              <w:top w:sz="17.600000000000136" w:val="single" w:color="#000000"/>
              <w:end w:sz="18.399999999999636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Double ML Partial Linear IV Regression </w:t>
            </w:r>
          </w:p>
        </w:tc>
      </w:tr>
      <w:tr>
        <w:trPr>
          <w:trHeight w:hRule="exact" w:val="406"/>
        </w:trPr>
        <w:tc>
          <w:tcPr>
            <w:tcW w:type="dxa" w:w="39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8"/>
            <w:tcBorders>
              <w:start w:sz="18.399999999999636" w:val="single" w:color="#000000"/>
              <w:top w:sz="18.399999999999864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Estimates </w:t>
            </w:r>
          </w:p>
        </w:tc>
        <w:tc>
          <w:tcPr>
            <w:tcW w:type="dxa" w:w="1526"/>
            <w:tcBorders>
              <w:start w:sz="4.0" w:val="single" w:color="#000000"/>
              <w:top w:sz="18.399999999999864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Std. Error </w:t>
            </w:r>
          </w:p>
        </w:tc>
        <w:tc>
          <w:tcPr>
            <w:tcW w:type="dxa" w:w="1534"/>
            <w:tcBorders>
              <w:start w:sz="4.0" w:val="single" w:color="#000000"/>
              <w:top w:sz="18.399999999999864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95% Lower CI </w:t>
            </w:r>
          </w:p>
        </w:tc>
        <w:tc>
          <w:tcPr>
            <w:tcW w:type="dxa" w:w="1552"/>
            <w:tcBorders>
              <w:start w:sz="4.0" w:val="single" w:color="#000000"/>
              <w:top w:sz="18.399999999999864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95% Upper CI </w:t>
            </w:r>
          </w:p>
        </w:tc>
        <w:tc>
          <w:tcPr>
            <w:tcW w:type="dxa" w:w="1534"/>
            <w:tcBorders>
              <w:start w:sz="4.0" w:val="single" w:color="#000000"/>
              <w:top w:sz="18.399999999999864" w:val="single" w:color="#000000"/>
              <w:end w:sz="18.399999999999636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P-FDR </w:t>
            </w:r>
          </w:p>
        </w:tc>
      </w:tr>
      <w:tr>
        <w:trPr>
          <w:trHeight w:hRule="exact" w:val="518"/>
        </w:trPr>
        <w:tc>
          <w:tcPr>
            <w:tcW w:type="dxa" w:w="3926"/>
            <w:tcBorders>
              <w:start w:sz="18.399999999999864" w:val="single" w:color="#000000"/>
              <w:top w:sz="17.600000000000136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8" w:right="100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Delay Discounting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1548"/>
            <w:tcBorders>
              <w:start w:sz="18.399999999999636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-0.429 </w:t>
            </w:r>
          </w:p>
        </w:tc>
        <w:tc>
          <w:tcPr>
            <w:tcW w:type="dxa" w:w="1526"/>
            <w:tcBorders>
              <w:start w:sz="4.0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0.206 </w:t>
            </w:r>
          </w:p>
        </w:tc>
        <w:tc>
          <w:tcPr>
            <w:tcW w:type="dxa" w:w="1534"/>
            <w:tcBorders>
              <w:start w:sz="4.0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-0.834 </w:t>
            </w:r>
          </w:p>
        </w:tc>
        <w:tc>
          <w:tcPr>
            <w:tcW w:type="dxa" w:w="1552"/>
            <w:tcBorders>
              <w:start w:sz="4.0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-0.025 </w:t>
            </w:r>
          </w:p>
        </w:tc>
        <w:tc>
          <w:tcPr>
            <w:tcW w:type="dxa" w:w="1534"/>
            <w:tcBorders>
              <w:start w:sz="4.0" w:val="single" w:color="#000000"/>
              <w:top w:sz="17.600000000000136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0.044 </w:t>
            </w:r>
          </w:p>
        </w:tc>
      </w:tr>
      <w:tr>
        <w:trPr>
          <w:trHeight w:hRule="exact" w:val="496"/>
        </w:trPr>
        <w:tc>
          <w:tcPr>
            <w:tcW w:type="dxa" w:w="39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8" w:right="100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Distress Score PLE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(1-year follow-up) </w:t>
            </w:r>
          </w:p>
        </w:tc>
        <w:tc>
          <w:tcPr>
            <w:tcW w:type="dxa" w:w="15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0.495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0.199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0.105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0.884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0.023 </w:t>
            </w:r>
          </w:p>
        </w:tc>
      </w:tr>
      <w:tr>
        <w:trPr>
          <w:trHeight w:hRule="exact" w:val="494"/>
        </w:trPr>
        <w:tc>
          <w:tcPr>
            <w:tcW w:type="dxa" w:w="39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8" w:right="100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Distress Score PLE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(2-year follow-up) </w:t>
            </w:r>
          </w:p>
        </w:tc>
        <w:tc>
          <w:tcPr>
            <w:tcW w:type="dxa" w:w="15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0.609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0.193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0.232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0.987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0.005 </w:t>
            </w:r>
          </w:p>
        </w:tc>
      </w:tr>
      <w:tr>
        <w:trPr>
          <w:trHeight w:hRule="exact" w:val="456"/>
        </w:trPr>
        <w:tc>
          <w:tcPr>
            <w:tcW w:type="dxa" w:w="39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8" w:right="86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Delusional Score PLEs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(1-year follow-up)</w:t>
            </w:r>
          </w:p>
        </w:tc>
        <w:tc>
          <w:tcPr>
            <w:tcW w:type="dxa" w:w="15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0.393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0.201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-0.001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0.788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0.051 </w:t>
            </w:r>
          </w:p>
        </w:tc>
      </w:tr>
      <w:tr>
        <w:trPr>
          <w:trHeight w:hRule="exact" w:val="454"/>
        </w:trPr>
        <w:tc>
          <w:tcPr>
            <w:tcW w:type="dxa" w:w="39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8" w:right="86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Delusional Score PLEs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(2-year follow-up)</w:t>
            </w:r>
          </w:p>
        </w:tc>
        <w:tc>
          <w:tcPr>
            <w:tcW w:type="dxa" w:w="15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0.417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0.196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0.032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0.801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0.044 </w:t>
            </w:r>
          </w:p>
        </w:tc>
      </w:tr>
      <w:tr>
        <w:trPr>
          <w:trHeight w:hRule="exact" w:val="450"/>
        </w:trPr>
        <w:tc>
          <w:tcPr>
            <w:tcW w:type="dxa" w:w="39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20" w:right="72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(1-year follow-up)</w:t>
            </w:r>
          </w:p>
        </w:tc>
        <w:tc>
          <w:tcPr>
            <w:tcW w:type="dxa" w:w="15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0.498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0.187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0.131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0.864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0.018 </w:t>
            </w:r>
          </w:p>
        </w:tc>
      </w:tr>
      <w:tr>
        <w:trPr>
          <w:trHeight w:hRule="exact" w:val="474"/>
        </w:trPr>
        <w:tc>
          <w:tcPr>
            <w:tcW w:type="dxa" w:w="39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20" w:right="72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(2-year follow-up)</w:t>
            </w:r>
          </w:p>
        </w:tc>
        <w:tc>
          <w:tcPr>
            <w:tcW w:type="dxa" w:w="15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0.683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0.188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0.316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1.051 </w:t>
            </w:r>
          </w:p>
        </w:tc>
        <w:tc>
          <w:tcPr>
            <w:tcW w:type="dxa" w:w="1534"/>
            <w:tcBorders>
              <w:start w:sz="4.0" w:val="single" w:color="#000000"/>
              <w:top w:sz="4.0" w:val="single" w:color="#000000"/>
              <w:end w:sz="18.399999999999636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0.002 </w:t>
            </w:r>
          </w:p>
        </w:tc>
      </w:tr>
    </w:tbl>
    <w:p>
      <w:pPr>
        <w:autoSpaceDN w:val="0"/>
        <w:autoSpaceDE w:val="0"/>
        <w:widowControl/>
        <w:spacing w:line="178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1571 </w:t>
      </w:r>
    </w:p>
    <w:p>
      <w:pPr>
        <w:autoSpaceDN w:val="0"/>
        <w:tabs>
          <w:tab w:pos="800" w:val="left"/>
        </w:tabs>
        <w:autoSpaceDE w:val="0"/>
        <w:widowControl/>
        <w:spacing w:line="216" w:lineRule="auto" w:before="43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1572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Random Forest-based Feature Selection using Boruta algorithm </w:t>
      </w:r>
    </w:p>
    <w:p>
      <w:pPr>
        <w:autoSpaceDN w:val="0"/>
        <w:tabs>
          <w:tab w:pos="1310" w:val="left"/>
        </w:tabs>
        <w:autoSpaceDE w:val="0"/>
        <w:widowControl/>
        <w:spacing w:line="187" w:lineRule="auto" w:before="18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1573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used Boruta (71) to select GPS and brain ROIs of structural MRI and MID task fMRI significantly associated with delay discounting. Boruta first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1574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generates shadow attributes, which is irrelevant to the outcome, by shuffling all input features. It then confirms features that have significantly higher </w:t>
      </w:r>
    </w:p>
    <w:p>
      <w:pPr>
        <w:sectPr>
          <w:pgSz w:w="16840" w:h="11905"/>
          <w:pgMar w:top="960" w:right="736" w:bottom="1212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1575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importance in predicting the outcome than the shadow attributes with 95% confidence level, Bonferroni-corrected two-tailed tests (71). The selected features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1576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were included as covariates in the IV Forest models for assessing heterogeneous relationships of ADI. </w:t>
      </w:r>
    </w:p>
    <w:p>
      <w:pPr>
        <w:autoSpaceDN w:val="0"/>
        <w:autoSpaceDE w:val="0"/>
        <w:widowControl/>
        <w:spacing w:line="180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1577 </w:t>
      </w:r>
    </w:p>
    <w:p>
      <w:pPr>
        <w:autoSpaceDN w:val="0"/>
        <w:tabs>
          <w:tab w:pos="1310" w:val="left"/>
        </w:tabs>
        <w:autoSpaceDE w:val="0"/>
        <w:widowControl/>
        <w:spacing w:line="187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1578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Table S5. Genetic and neural correlates of delay discounting selected using random forest-based algorithm.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the Boruta algorithm, we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1579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selected polygenic scores, neuroanatomical, and MID task functional activations related to delay discounting. meanImp, medianImp, minImp, and maxImp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1580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denote mean, median, maximal, and minimal importance, respectively. normHits indicate the number of hits normalized to number of importance source runs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428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1581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performed.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Decision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indicates the final decision of whether or not to select each feature.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1.9999999999999" w:type="dxa"/>
      </w:tblPr>
      <w:tblGrid>
        <w:gridCol w:w="1988"/>
        <w:gridCol w:w="1988"/>
        <w:gridCol w:w="1988"/>
        <w:gridCol w:w="1988"/>
        <w:gridCol w:w="1988"/>
        <w:gridCol w:w="1988"/>
        <w:gridCol w:w="1988"/>
        <w:gridCol w:w="1988"/>
      </w:tblGrid>
      <w:tr>
        <w:trPr>
          <w:trHeight w:hRule="exact" w:val="406"/>
        </w:trPr>
        <w:tc>
          <w:tcPr>
            <w:tcW w:type="dxa" w:w="4786"/>
            <w:gridSpan w:val="2"/>
            <w:tcBorders>
              <w:start w:sz="17.600000000000023" w:val="single" w:color="#000000"/>
              <w:top w:sz="18.399999999999636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18"/>
            <w:gridSpan w:val="6"/>
            <w:tcBorders>
              <w:start w:sz="18.399999999999636" w:val="single" w:color="#000000"/>
              <w:top w:sz="18.399999999999636" w:val="single" w:color="#000000"/>
              <w:end w:sz="17.60000000000036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Boruta Feature Selection</w:t>
            </w:r>
          </w:p>
        </w:tc>
      </w:tr>
      <w:tr>
        <w:trPr>
          <w:trHeight w:hRule="exact" w:val="406"/>
        </w:trPr>
        <w:tc>
          <w:tcPr>
            <w:tcW w:type="dxa" w:w="4786"/>
            <w:gridSpan w:val="2"/>
            <w:tcBorders>
              <w:start w:sz="17.600000000000023" w:val="single" w:color="#000000"/>
              <w:top w:sz="4.0" w:val="single" w:color="#000000"/>
              <w:end w:sz="18.399999999999636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18.399999999999636" w:val="single" w:color="#000000"/>
              <w:top w:sz="17.600000000000364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meanImp </w:t>
            </w:r>
          </w:p>
        </w:tc>
        <w:tc>
          <w:tcPr>
            <w:tcW w:type="dxa" w:w="1704"/>
            <w:tcBorders>
              <w:start w:sz="4.0" w:val="single" w:color="#000000"/>
              <w:top w:sz="17.600000000000364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medianImp </w:t>
            </w:r>
          </w:p>
        </w:tc>
        <w:tc>
          <w:tcPr>
            <w:tcW w:type="dxa" w:w="1708"/>
            <w:tcBorders>
              <w:start w:sz="4.0" w:val="single" w:color="#000000"/>
              <w:top w:sz="17.600000000000364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minImp </w:t>
            </w:r>
          </w:p>
        </w:tc>
        <w:tc>
          <w:tcPr>
            <w:tcW w:type="dxa" w:w="1700"/>
            <w:tcBorders>
              <w:start w:sz="4.0" w:val="single" w:color="#000000"/>
              <w:top w:sz="17.600000000000364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maxImp </w:t>
            </w:r>
          </w:p>
        </w:tc>
        <w:tc>
          <w:tcPr>
            <w:tcW w:type="dxa" w:w="1702"/>
            <w:tcBorders>
              <w:start w:sz="4.0" w:val="single" w:color="#000000"/>
              <w:top w:sz="17.600000000000364" w:val="single" w:color="#000000"/>
              <w:end w:sz="17.600000000000364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normHits </w:t>
            </w:r>
          </w:p>
        </w:tc>
        <w:tc>
          <w:tcPr>
            <w:tcW w:type="dxa" w:w="1700"/>
            <w:tcBorders>
              <w:start w:sz="17.600000000000364" w:val="single" w:color="#000000"/>
              <w:top w:sz="17.600000000000364" w:val="single" w:color="#000000"/>
              <w:end w:sz="17.600000000000364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Decision </w:t>
            </w:r>
          </w:p>
        </w:tc>
      </w:tr>
      <w:tr>
        <w:trPr>
          <w:trHeight w:hRule="exact" w:val="386"/>
        </w:trPr>
        <w:tc>
          <w:tcPr>
            <w:tcW w:type="dxa" w:w="1960"/>
            <w:vMerge w:val="restart"/>
            <w:tcBorders>
              <w:start w:sz="17.600000000000023" w:val="single" w:color="#000000"/>
              <w:top w:sz="18.399999999999636" w:val="single" w:color="#000000"/>
              <w:end w:sz="18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GPS </w:t>
            </w:r>
          </w:p>
        </w:tc>
        <w:tc>
          <w:tcPr>
            <w:tcW w:type="dxa" w:w="2826"/>
            <w:tcBorders>
              <w:start w:sz="18.399999999999864" w:val="single" w:color="#000000"/>
              <w:top w:sz="18.399999999999636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Cognitive performance GPS </w:t>
            </w:r>
          </w:p>
        </w:tc>
        <w:tc>
          <w:tcPr>
            <w:tcW w:type="dxa" w:w="1704"/>
            <w:tcBorders>
              <w:start w:sz="18.399999999999636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9.219 </w:t>
            </w:r>
          </w:p>
        </w:tc>
        <w:tc>
          <w:tcPr>
            <w:tcW w:type="dxa" w:w="1704"/>
            <w:tcBorders>
              <w:start w:sz="4.0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9.344 </w:t>
            </w:r>
          </w:p>
        </w:tc>
        <w:tc>
          <w:tcPr>
            <w:tcW w:type="dxa" w:w="1708"/>
            <w:tcBorders>
              <w:start w:sz="4.0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1.540 </w:t>
            </w:r>
          </w:p>
        </w:tc>
        <w:tc>
          <w:tcPr>
            <w:tcW w:type="dxa" w:w="1700"/>
            <w:tcBorders>
              <w:start w:sz="4.0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14.803 </w:t>
            </w:r>
          </w:p>
        </w:tc>
        <w:tc>
          <w:tcPr>
            <w:tcW w:type="dxa" w:w="1702"/>
            <w:tcBorders>
              <w:start w:sz="4.0" w:val="single" w:color="#000000"/>
              <w:top w:sz="18.399999999999636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0.989 </w:t>
            </w:r>
          </w:p>
        </w:tc>
        <w:tc>
          <w:tcPr>
            <w:tcW w:type="dxa" w:w="1700"/>
            <w:tcBorders>
              <w:start w:sz="17.600000000000364" w:val="single" w:color="#000000"/>
              <w:top w:sz="18.399999999999636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370"/>
        </w:trPr>
        <w:tc>
          <w:tcPr>
            <w:tcW w:type="dxa" w:w="1988"/>
            <w:vMerge/>
            <w:tcBorders>
              <w:start w:sz="17.600000000000023" w:val="single" w:color="#000000"/>
              <w:top w:sz="18.399999999999636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Educational attainment GPS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3.941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3.862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0.426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7.543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0.868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496"/>
        </w:trPr>
        <w:tc>
          <w:tcPr>
            <w:tcW w:type="dxa" w:w="1988"/>
            <w:vMerge/>
            <w:tcBorders>
              <w:start w:sz="17.600000000000023" w:val="single" w:color="#000000"/>
              <w:top w:sz="18.399999999999636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IQ GPS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(2-year follow-up)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6.798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6.806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1.975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9.841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0.995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500"/>
        </w:trPr>
        <w:tc>
          <w:tcPr>
            <w:tcW w:type="dxa" w:w="1960"/>
            <w:vMerge w:val="restart"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Structural MRI </w:t>
            </w:r>
          </w:p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Left rostral anterior cingulate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area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6.414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6.475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-0.035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9.673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0.986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494"/>
        </w:trPr>
        <w:tc>
          <w:tcPr>
            <w:tcW w:type="dxa" w:w="1988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Area of the left white surface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area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4.947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4.993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-0.651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8.320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0.966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350"/>
        </w:trPr>
        <w:tc>
          <w:tcPr>
            <w:tcW w:type="dxa" w:w="1988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Right isthmus cingulate area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3.047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3.018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-1.526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6.367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0.748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0" w:h="11905"/>
          <w:pgMar w:top="960" w:right="736" w:bottom="1164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883"/>
        <w:gridCol w:w="1883"/>
        <w:gridCol w:w="1883"/>
        <w:gridCol w:w="1883"/>
        <w:gridCol w:w="1883"/>
        <w:gridCol w:w="1883"/>
        <w:gridCol w:w="1883"/>
        <w:gridCol w:w="1883"/>
      </w:tblGrid>
      <w:tr>
        <w:trPr>
          <w:trHeight w:hRule="exact" w:val="372"/>
        </w:trPr>
        <w:tc>
          <w:tcPr>
            <w:tcW w:type="dxa" w:w="1960"/>
            <w:vMerge w:val="restart"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Right parahippocampal area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3.540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3.596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-0.736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7.584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0.848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370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Right pars opercularis area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2.536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2.551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-2.733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5.521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0.597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370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Right temporal pole area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3.646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3.642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-1.886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6.744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0.857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370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Right fusiform volume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4.830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4.821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-0.220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8.109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0.960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496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Right parahippocampal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volume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2.619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2.596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-1.650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6.457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0.644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494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Right pars opercularis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volume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4.904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4.939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-2.184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8.229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0.969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370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Right caudate volume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2.941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2.911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-1.467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6.777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0.703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372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Total grey matter volume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5.226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5.237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-0.895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8.808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0.977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500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Right Temporal pole white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matter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6.748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6.804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0.408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9.862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0.987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494"/>
        </w:trPr>
        <w:tc>
          <w:tcPr>
            <w:tcW w:type="dxa" w:w="1960"/>
            <w:vMerge w:val="restart"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MID task fMRI </w:t>
            </w:r>
          </w:p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Left precentral (mean beta: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any reward vs neutral)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8.542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8.546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-0.835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12.054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0.997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500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Left supramarginal (mean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beta: any reward vs neutral)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8.795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8.818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-0.407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13.136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0.997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Confirmed </w:t>
            </w:r>
          </w:p>
        </w:tc>
      </w:tr>
      <w:tr>
        <w:trPr>
          <w:trHeight w:hRule="exact" w:val="450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Right posterior cingulate (mean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beta: any reward vs neutral)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10.082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10.104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-0.002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13.946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0.997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Confirmed</w:t>
            </w:r>
          </w:p>
        </w:tc>
      </w:tr>
      <w:tr>
        <w:trPr>
          <w:trHeight w:hRule="exact" w:val="456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Left transverse temporal (mean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beta: large reward vs neutral)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4.030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4.046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-1.268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7.737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0.901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Confirmed</w:t>
            </w:r>
          </w:p>
        </w:tc>
      </w:tr>
      <w:tr>
        <w:trPr>
          <w:trHeight w:hRule="exact" w:val="454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Left supramarginal (mean beta: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small reward vs neutral)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7.297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7.319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0.857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11.480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0.997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Confirmed</w:t>
            </w:r>
          </w:p>
        </w:tc>
      </w:tr>
      <w:tr>
        <w:trPr>
          <w:trHeight w:hRule="exact" w:val="450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Left superior temporal (mean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beta: large loss vs neutral)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2.781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2.782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-1.255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6.827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0.683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Confirmed</w:t>
            </w:r>
          </w:p>
        </w:tc>
      </w:tr>
      <w:tr>
        <w:trPr>
          <w:trHeight w:hRule="exact" w:val="456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Right insula (mean beta: small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loss vs neutral)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3.419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3.437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-1.186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7.658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0.826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Confirmed</w:t>
            </w:r>
          </w:p>
        </w:tc>
      </w:tr>
      <w:tr>
        <w:trPr>
          <w:trHeight w:hRule="exact" w:val="450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Left thalamus proper (mean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beta: any reward vs neutral)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7.081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7.078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-0.079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11.137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0.997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Confirmed</w:t>
            </w:r>
          </w:p>
        </w:tc>
      </w:tr>
      <w:tr>
        <w:trPr>
          <w:trHeight w:hRule="exact" w:val="434"/>
        </w:trPr>
        <w:tc>
          <w:tcPr>
            <w:tcW w:type="dxa" w:w="1883"/>
            <w:vMerge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Right ventral diencephalon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(mean beta: small loss vs 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4.407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4.397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-1.777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9.689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0.939 </w:t>
            </w:r>
          </w:p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Confirmed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0" w:h="11905"/>
          <w:pgMar w:top="960" w:right="776" w:bottom="1048" w:left="9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1.9999999999999" w:type="dxa"/>
      </w:tblPr>
      <w:tblGrid>
        <w:gridCol w:w="1988"/>
        <w:gridCol w:w="1988"/>
        <w:gridCol w:w="1988"/>
        <w:gridCol w:w="1988"/>
        <w:gridCol w:w="1988"/>
        <w:gridCol w:w="1988"/>
        <w:gridCol w:w="1988"/>
        <w:gridCol w:w="1988"/>
      </w:tblGrid>
      <w:tr>
        <w:trPr>
          <w:trHeight w:hRule="exact" w:val="372"/>
        </w:trPr>
        <w:tc>
          <w:tcPr>
            <w:tcW w:type="dxa" w:w="1960"/>
            <w:tcBorders>
              <w:start w:sz="17.600000000000023" w:val="single" w:color="#000000"/>
              <w:top w:sz="4.0" w:val="single" w:color="#000000"/>
              <w:end w:sz="18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6"/>
            <w:tcBorders>
              <w:start w:sz="18.399999999999864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neutral)</w:t>
            </w:r>
          </w:p>
        </w:tc>
        <w:tc>
          <w:tcPr>
            <w:tcW w:type="dxa" w:w="1704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17.600000000000364" w:val="single" w:color="#000000"/>
              <w:top w:sz="4.0" w:val="single" w:color="#000000"/>
              <w:end w:sz="17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1582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1583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1584 </w:t>
      </w:r>
    </w:p>
    <w:p>
      <w:pPr>
        <w:autoSpaceDN w:val="0"/>
        <w:autoSpaceDE w:val="0"/>
        <w:widowControl/>
        <w:spacing w:line="180" w:lineRule="auto" w:before="43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1585 </w:t>
      </w:r>
    </w:p>
    <w:p>
      <w:pPr>
        <w:autoSpaceDN w:val="0"/>
        <w:autoSpaceDE w:val="0"/>
        <w:widowControl/>
        <w:spacing w:line="180" w:lineRule="auto" w:before="43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1586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1587 </w:t>
      </w:r>
    </w:p>
    <w:p>
      <w:pPr>
        <w:autoSpaceDN w:val="0"/>
        <w:autoSpaceDE w:val="0"/>
        <w:widowControl/>
        <w:spacing w:line="178" w:lineRule="auto" w:before="43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1588 </w:t>
      </w:r>
    </w:p>
    <w:p>
      <w:pPr>
        <w:autoSpaceDN w:val="0"/>
        <w:autoSpaceDE w:val="0"/>
        <w:widowControl/>
        <w:spacing w:line="180" w:lineRule="auto" w:before="43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1589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1590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Table S6. Evaluation of individual differences in the potential associations of neighborhood socioeconomic adversity with children’s PLEs.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1591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employed three distinct tests to evaluate the heterogeneous associations of ADI with PLEs: monotonicity test, alternative hypothesis test, and ANOVA test.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1592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tests were applied to three developed IV Forest models: Delay Discounting model, Gene-Brain model, and Integrated model. All p-values were corrected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1593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multiple comparison using false discovery rate. A star (*) denotes overall significance, indicating that a model passed all three heterogeneity tests.</w:t>
      </w:r>
    </w:p>
    <w:p>
      <w:pPr>
        <w:sectPr>
          <w:pgSz w:w="16840" w:h="11905"/>
          <w:pgMar w:top="960" w:right="736" w:bottom="1104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hRule="exact" w:val="460"/>
        </w:trPr>
        <w:tc>
          <w:tcPr>
            <w:tcW w:type="dxa" w:w="4006"/>
            <w:gridSpan w:val="2"/>
            <w:vMerge w:val="restart"/>
            <w:tcBorders>
              <w:start w:sz="17.600000000000023" w:val="single" w:color="#000000"/>
              <w:top w:sz="18.399999999999977" w:val="single" w:color="#000000"/>
              <w:end w:sz="17.600000000000136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17.600000000000136" w:val="single" w:color="#000000"/>
              <w:top w:sz="18.399999999999977" w:val="single" w:color="#000000"/>
              <w:end w:sz="18.399999999999636" w:val="single" w:color="#000000"/>
              <w:bottom w:sz="18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Monotonicity </w:t>
            </w:r>
          </w:p>
        </w:tc>
        <w:tc>
          <w:tcPr>
            <w:tcW w:type="dxa" w:w="4842"/>
            <w:gridSpan w:val="4"/>
            <w:tcBorders>
              <w:start w:sz="18.399999999999636" w:val="single" w:color="#000000"/>
              <w:top w:sz="18.399999999999977" w:val="single" w:color="#000000"/>
              <w:end w:sz="17.599999999999454" w:val="single" w:color="#000000"/>
              <w:bottom w:sz="18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Alternative Hypothesis </w:t>
            </w:r>
          </w:p>
        </w:tc>
        <w:tc>
          <w:tcPr>
            <w:tcW w:type="dxa" w:w="2262"/>
            <w:gridSpan w:val="2"/>
            <w:tcBorders>
              <w:start w:sz="17.599999999999454" w:val="single" w:color="#000000"/>
              <w:top w:sz="18.399999999999977" w:val="single" w:color="#000000"/>
              <w:end w:sz="18.399999999999636" w:val="single" w:color="#000000"/>
              <w:bottom w:sz="18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ANOVA </w:t>
            </w:r>
          </w:p>
        </w:tc>
        <w:tc>
          <w:tcPr>
            <w:tcW w:type="dxa" w:w="1250"/>
            <w:vMerge w:val="restart"/>
            <w:tcBorders>
              <w:start w:sz="18.399999999999636" w:val="single" w:color="#000000"/>
              <w:top w:sz="18.399999999999977" w:val="single" w:color="#000000"/>
              <w:end w:sz="18.399999999999636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Overall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Significance</w:t>
            </w:r>
          </w:p>
        </w:tc>
      </w:tr>
      <w:tr>
        <w:trPr>
          <w:trHeight w:hRule="exact" w:val="560"/>
        </w:trPr>
        <w:tc>
          <w:tcPr>
            <w:tcW w:type="dxa" w:w="2880"/>
            <w:gridSpan w:val="2"/>
            <w:vMerge/>
            <w:tcBorders>
              <w:start w:sz="17.600000000000023" w:val="single" w:color="#000000"/>
              <w:top w:sz="18.399999999999977" w:val="single" w:color="#000000"/>
              <w:end w:sz="17.600000000000136" w:val="single" w:color="#000000"/>
              <w:bottom w:sz="17.600000000000136" w:val="single" w:color="#000000"/>
            </w:tcBorders>
          </w:tcPr>
          <w:p/>
        </w:tc>
        <w:tc>
          <w:tcPr>
            <w:tcW w:type="dxa" w:w="1780"/>
            <w:tcBorders>
              <w:start w:sz="17.600000000000136" w:val="single" w:color="#000000"/>
              <w:top w:sz="18.399999999999977" w:val="single" w:color="#000000"/>
              <w:end w:sz="18.399999999999636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p-FDR </w:t>
            </w:r>
          </w:p>
        </w:tc>
        <w:tc>
          <w:tcPr>
            <w:tcW w:type="dxa" w:w="1148"/>
            <w:tcBorders>
              <w:start w:sz="18.399999999999636" w:val="single" w:color="#000000"/>
              <w:top w:sz="18.399999999999977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Estimate </w:t>
            </w:r>
          </w:p>
        </w:tc>
        <w:tc>
          <w:tcPr>
            <w:tcW w:type="dxa" w:w="1140"/>
            <w:tcBorders>
              <w:start w:sz="4.0" w:val="single" w:color="#000000"/>
              <w:top w:sz="18.399999999999977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Std. Error </w:t>
            </w:r>
          </w:p>
        </w:tc>
        <w:tc>
          <w:tcPr>
            <w:tcW w:type="dxa" w:w="1140"/>
            <w:tcBorders>
              <w:start w:sz="4.0" w:val="single" w:color="#000000"/>
              <w:top w:sz="18.399999999999977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t-value </w:t>
            </w:r>
          </w:p>
        </w:tc>
        <w:tc>
          <w:tcPr>
            <w:tcW w:type="dxa" w:w="1414"/>
            <w:tcBorders>
              <w:start w:sz="4.0" w:val="single" w:color="#000000"/>
              <w:top w:sz="18.399999999999977" w:val="single" w:color="#000000"/>
              <w:end w:sz="17.599999999999454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p-FDR </w:t>
            </w:r>
          </w:p>
        </w:tc>
        <w:tc>
          <w:tcPr>
            <w:tcW w:type="dxa" w:w="1030"/>
            <w:tcBorders>
              <w:start w:sz="17.599999999999454" w:val="single" w:color="#000000"/>
              <w:top w:sz="18.399999999999977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F-value </w:t>
            </w:r>
          </w:p>
        </w:tc>
        <w:tc>
          <w:tcPr>
            <w:tcW w:type="dxa" w:w="1232"/>
            <w:tcBorders>
              <w:start w:sz="4.0" w:val="single" w:color="#000000"/>
              <w:top w:sz="18.399999999999977" w:val="single" w:color="#000000"/>
              <w:end w:sz="18.399999999999636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p-FDR </w:t>
            </w:r>
          </w:p>
        </w:tc>
        <w:tc>
          <w:tcPr>
            <w:tcW w:type="dxa" w:w="1440"/>
            <w:vMerge/>
            <w:tcBorders>
              <w:start w:sz="18.399999999999636" w:val="single" w:color="#000000"/>
              <w:top w:sz="18.399999999999977" w:val="single" w:color="#000000"/>
              <w:end w:sz="18.399999999999636" w:val="single" w:color="#000000"/>
              <w:bottom w:sz="17.600000000000136" w:val="single" w:color="#000000"/>
            </w:tcBorders>
          </w:tcPr>
          <w:p/>
        </w:tc>
      </w:tr>
      <w:tr>
        <w:trPr>
          <w:trHeight w:hRule="exact" w:val="548"/>
        </w:trPr>
        <w:tc>
          <w:tcPr>
            <w:tcW w:type="dxa" w:w="1440"/>
            <w:vMerge w:val="restart"/>
            <w:tcBorders>
              <w:start w:sz="17.600000000000023" w:val="single" w:color="#000000"/>
              <w:top w:sz="17.600000000000136" w:val="single" w:color="#000000"/>
              <w:end w:sz="17.600000000000023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Delay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Discounting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Model</w:t>
            </w:r>
          </w:p>
        </w:tc>
        <w:tc>
          <w:tcPr>
            <w:tcW w:type="dxa" w:w="2566"/>
            <w:tcBorders>
              <w:start w:sz="17.600000000000023" w:val="single" w:color="#000000"/>
              <w:top w:sz="17.600000000000136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Distress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(1-year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17.600000000000136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0.037 </w:t>
            </w:r>
          </w:p>
        </w:tc>
        <w:tc>
          <w:tcPr>
            <w:tcW w:type="dxa" w:w="1148"/>
            <w:tcBorders>
              <w:start w:sz="18.399999999999636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-22.261 </w:t>
            </w:r>
          </w:p>
        </w:tc>
        <w:tc>
          <w:tcPr>
            <w:tcW w:type="dxa" w:w="1140"/>
            <w:tcBorders>
              <w:start w:sz="4.0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40.164 </w:t>
            </w:r>
          </w:p>
        </w:tc>
        <w:tc>
          <w:tcPr>
            <w:tcW w:type="dxa" w:w="1140"/>
            <w:tcBorders>
              <w:start w:sz="4.0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-0.554 </w:t>
            </w:r>
          </w:p>
        </w:tc>
        <w:tc>
          <w:tcPr>
            <w:tcW w:type="dxa" w:w="1414"/>
            <w:tcBorders>
              <w:start w:sz="4.0" w:val="single" w:color="#000000"/>
              <w:top w:sz="17.600000000000136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0.799 </w:t>
            </w:r>
          </w:p>
        </w:tc>
        <w:tc>
          <w:tcPr>
            <w:tcW w:type="dxa" w:w="1030"/>
            <w:tcBorders>
              <w:start w:sz="17.599999999999454" w:val="single" w:color="#000000"/>
              <w:top w:sz="17.6000000000001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1.114 </w:t>
            </w:r>
          </w:p>
        </w:tc>
        <w:tc>
          <w:tcPr>
            <w:tcW w:type="dxa" w:w="1232"/>
            <w:tcBorders>
              <w:start w:sz="4.0" w:val="single" w:color="#000000"/>
              <w:top w:sz="17.600000000000136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0.48 </w:t>
            </w:r>
          </w:p>
        </w:tc>
        <w:tc>
          <w:tcPr>
            <w:tcW w:type="dxa" w:w="1250"/>
            <w:tcBorders>
              <w:start w:sz="18.399999999999636" w:val="single" w:color="#000000"/>
              <w:top w:sz="17.600000000000136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0"/>
        </w:trPr>
        <w:tc>
          <w:tcPr>
            <w:tcW w:type="dxa" w:w="1440"/>
            <w:vMerge/>
            <w:tcBorders>
              <w:start w:sz="17.600000000000023" w:val="single" w:color="#000000"/>
              <w:top w:sz="17.600000000000136" w:val="single" w:color="#000000"/>
              <w:end w:sz="17.600000000000023" w:val="single" w:color="#000000"/>
              <w:bottom w:sz="18.399999999999636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Distress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0.094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-54.769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142.528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-0.384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0.799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1.081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0.48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4"/>
        </w:trPr>
        <w:tc>
          <w:tcPr>
            <w:tcW w:type="dxa" w:w="1440"/>
            <w:vMerge/>
            <w:tcBorders>
              <w:start w:sz="17.600000000000023" w:val="single" w:color="#000000"/>
              <w:top w:sz="17.600000000000136" w:val="single" w:color="#000000"/>
              <w:end w:sz="17.600000000000023" w:val="single" w:color="#000000"/>
              <w:bottom w:sz="18.399999999999636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(1-year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0.019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55.047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188.400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0.292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0.799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0.965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0.495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0"/>
        </w:trPr>
        <w:tc>
          <w:tcPr>
            <w:tcW w:type="dxa" w:w="1440"/>
            <w:vMerge/>
            <w:tcBorders>
              <w:start w:sz="17.600000000000023" w:val="single" w:color="#000000"/>
              <w:top w:sz="17.600000000000136" w:val="single" w:color="#000000"/>
              <w:end w:sz="17.600000000000023" w:val="single" w:color="#000000"/>
              <w:bottom w:sz="18.399999999999636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0.303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23.289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91.550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0.254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0.799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0.852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0.568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6"/>
        </w:trPr>
        <w:tc>
          <w:tcPr>
            <w:tcW w:type="dxa" w:w="1440"/>
            <w:vMerge/>
            <w:tcBorders>
              <w:start w:sz="17.600000000000023" w:val="single" w:color="#000000"/>
              <w:top w:sz="17.600000000000136" w:val="single" w:color="#000000"/>
              <w:end w:sz="17.600000000000023" w:val="single" w:color="#000000"/>
              <w:bottom w:sz="18.399999999999636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(1-year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0.362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-86.756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241.597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-0.359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0.799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0.995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0.495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1440"/>
            <w:vMerge/>
            <w:tcBorders>
              <w:start w:sz="17.600000000000023" w:val="single" w:color="#000000"/>
              <w:top w:sz="17.600000000000136" w:val="single" w:color="#000000"/>
              <w:end w:sz="17.600000000000023" w:val="single" w:color="#000000"/>
              <w:bottom w:sz="18.399999999999636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0.098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-119.595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341.060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-0.351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0.799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1.010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0.495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18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1440"/>
            <w:vMerge w:val="restart"/>
            <w:tcBorders>
              <w:start w:sz="17.600000000000023" w:val="single" w:color="#000000"/>
              <w:top w:sz="18.399999999999636" w:val="single" w:color="#000000"/>
              <w:end w:sz="17.600000000000023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Gene-Brain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Model </w:t>
            </w:r>
          </w:p>
        </w:tc>
        <w:tc>
          <w:tcPr>
            <w:tcW w:type="dxa" w:w="2566"/>
            <w:tcBorders>
              <w:start w:sz="17.600000000000023" w:val="single" w:color="#000000"/>
              <w:top w:sz="18.399999999999636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Distress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(1-year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18.399999999999636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0.058 </w:t>
            </w:r>
          </w:p>
        </w:tc>
        <w:tc>
          <w:tcPr>
            <w:tcW w:type="dxa" w:w="1148"/>
            <w:tcBorders>
              <w:start w:sz="18.399999999999636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-9.522 </w:t>
            </w:r>
          </w:p>
        </w:tc>
        <w:tc>
          <w:tcPr>
            <w:tcW w:type="dxa" w:w="1140"/>
            <w:tcBorders>
              <w:start w:sz="4.0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4.244 </w:t>
            </w:r>
          </w:p>
        </w:tc>
        <w:tc>
          <w:tcPr>
            <w:tcW w:type="dxa" w:w="1140"/>
            <w:tcBorders>
              <w:start w:sz="4.0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-2.244 </w:t>
            </w:r>
          </w:p>
        </w:tc>
        <w:tc>
          <w:tcPr>
            <w:tcW w:type="dxa" w:w="1414"/>
            <w:tcBorders>
              <w:start w:sz="4.0" w:val="single" w:color="#000000"/>
              <w:top w:sz="18.399999999999636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0.056 </w:t>
            </w:r>
          </w:p>
        </w:tc>
        <w:tc>
          <w:tcPr>
            <w:tcW w:type="dxa" w:w="1030"/>
            <w:tcBorders>
              <w:start w:sz="17.599999999999454" w:val="single" w:color="#000000"/>
              <w:top w:sz="18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2.289 </w:t>
            </w:r>
          </w:p>
        </w:tc>
        <w:tc>
          <w:tcPr>
            <w:tcW w:type="dxa" w:w="1232"/>
            <w:tcBorders>
              <w:start w:sz="4.0" w:val="single" w:color="#000000"/>
              <w:top w:sz="18.399999999999636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0.027 </w:t>
            </w:r>
          </w:p>
        </w:tc>
        <w:tc>
          <w:tcPr>
            <w:tcW w:type="dxa" w:w="1250"/>
            <w:tcBorders>
              <w:start w:sz="18.399999999999636" w:val="single" w:color="#000000"/>
              <w:top w:sz="18.399999999999636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6"/>
        </w:trPr>
        <w:tc>
          <w:tcPr>
            <w:tcW w:type="dxa" w:w="1440"/>
            <w:vMerge/>
            <w:tcBorders>
              <w:start w:sz="17.600000000000023" w:val="single" w:color="#000000"/>
              <w:top w:sz="18.399999999999636" w:val="single" w:color="#000000"/>
              <w:end w:sz="17.600000000000023" w:val="single" w:color="#000000"/>
              <w:bottom w:sz="17.59999999999991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Distress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0.099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-9.202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7.016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-1.312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0.285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1.608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0.161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0"/>
        </w:trPr>
        <w:tc>
          <w:tcPr>
            <w:tcW w:type="dxa" w:w="1440"/>
            <w:vMerge/>
            <w:tcBorders>
              <w:start w:sz="17.600000000000023" w:val="single" w:color="#000000"/>
              <w:top w:sz="18.399999999999636" w:val="single" w:color="#000000"/>
              <w:end w:sz="17.600000000000023" w:val="single" w:color="#000000"/>
              <w:bottom w:sz="17.59999999999991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(1-year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0.086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-7.463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3.262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-2.288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0.056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2.631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4"/>
        </w:trPr>
        <w:tc>
          <w:tcPr>
            <w:tcW w:type="dxa" w:w="1440"/>
            <w:vMerge/>
            <w:tcBorders>
              <w:start w:sz="17.600000000000023" w:val="single" w:color="#000000"/>
              <w:top w:sz="18.399999999999636" w:val="single" w:color="#000000"/>
              <w:end w:sz="17.600000000000023" w:val="single" w:color="#000000"/>
              <w:bottom w:sz="17.59999999999991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0.043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-9.512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4.886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-1.947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0.094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3.493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6"/>
        </w:trPr>
        <w:tc>
          <w:tcPr>
            <w:tcW w:type="dxa" w:w="1440"/>
            <w:vMerge/>
            <w:tcBorders>
              <w:start w:sz="17.600000000000023" w:val="single" w:color="#000000"/>
              <w:top w:sz="18.399999999999636" w:val="single" w:color="#000000"/>
              <w:end w:sz="17.600000000000023" w:val="single" w:color="#000000"/>
              <w:bottom w:sz="17.59999999999991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(1-year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0.022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-8.917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4.123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-2.163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0.062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1.878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0.083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1440"/>
            <w:vMerge/>
            <w:tcBorders>
              <w:start w:sz="17.600000000000023" w:val="single" w:color="#000000"/>
              <w:top w:sz="18.399999999999636" w:val="single" w:color="#000000"/>
              <w:end w:sz="17.600000000000023" w:val="single" w:color="#000000"/>
              <w:bottom w:sz="17.59999999999991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0.146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-9.382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5.681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-1.651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0.162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2.695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0.009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3"/>
        </w:trPr>
        <w:tc>
          <w:tcPr>
            <w:tcW w:type="dxa" w:w="1440"/>
            <w:vMerge w:val="restart"/>
            <w:tcBorders>
              <w:start w:sz="17.600000000000023" w:val="single" w:color="#000000"/>
              <w:top w:sz="17.59999999999991" w:val="single" w:color="#000000"/>
              <w:end w:sz="17.600000000000023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Integrated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Model </w:t>
            </w:r>
          </w:p>
        </w:tc>
        <w:tc>
          <w:tcPr>
            <w:tcW w:type="dxa" w:w="2566"/>
            <w:tcBorders>
              <w:start w:sz="17.600000000000023" w:val="single" w:color="#000000"/>
              <w:top w:sz="17.59999999999991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Distress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(1-year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17.59999999999991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0.011 </w:t>
            </w:r>
          </w:p>
        </w:tc>
        <w:tc>
          <w:tcPr>
            <w:tcW w:type="dxa" w:w="1148"/>
            <w:tcBorders>
              <w:start w:sz="18.399999999999636" w:val="single" w:color="#000000"/>
              <w:top w:sz="17.599999999999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-8.922 </w:t>
            </w:r>
          </w:p>
        </w:tc>
        <w:tc>
          <w:tcPr>
            <w:tcW w:type="dxa" w:w="1140"/>
            <w:tcBorders>
              <w:start w:sz="4.0" w:val="single" w:color="#000000"/>
              <w:top w:sz="17.599999999999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2.922 </w:t>
            </w:r>
          </w:p>
        </w:tc>
        <w:tc>
          <w:tcPr>
            <w:tcW w:type="dxa" w:w="1140"/>
            <w:tcBorders>
              <w:start w:sz="4.0" w:val="single" w:color="#000000"/>
              <w:top w:sz="17.599999999999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-3.053 </w:t>
            </w:r>
          </w:p>
        </w:tc>
        <w:tc>
          <w:tcPr>
            <w:tcW w:type="dxa" w:w="1414"/>
            <w:tcBorders>
              <w:start w:sz="4.0" w:val="single" w:color="#000000"/>
              <w:top w:sz="17.59999999999991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0.025 </w:t>
            </w:r>
          </w:p>
        </w:tc>
        <w:tc>
          <w:tcPr>
            <w:tcW w:type="dxa" w:w="1030"/>
            <w:tcBorders>
              <w:start w:sz="17.599999999999454" w:val="single" w:color="#000000"/>
              <w:top w:sz="17.599999999999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8.388 </w:t>
            </w:r>
          </w:p>
        </w:tc>
        <w:tc>
          <w:tcPr>
            <w:tcW w:type="dxa" w:w="1232"/>
            <w:tcBorders>
              <w:start w:sz="4.0" w:val="single" w:color="#000000"/>
              <w:top w:sz="17.59999999999991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17.59999999999991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* </w:t>
            </w:r>
          </w:p>
        </w:tc>
      </w:tr>
      <w:tr>
        <w:trPr>
          <w:trHeight w:hRule="exact" w:val="473"/>
        </w:trPr>
        <w:tc>
          <w:tcPr>
            <w:tcW w:type="dxa" w:w="1440"/>
            <w:vMerge/>
            <w:tcBorders>
              <w:start w:sz="17.600000000000023" w:val="single" w:color="#000000"/>
              <w:top w:sz="17.59999999999991" w:val="single" w:color="#000000"/>
              <w:end w:sz="17.600000000000023" w:val="single" w:color="#000000"/>
              <w:bottom w:sz="18.40000000000009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Distress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0.074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-9.343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3.469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-2.693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0.025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7.361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1440"/>
            <w:vMerge/>
            <w:tcBorders>
              <w:start w:sz="17.600000000000023" w:val="single" w:color="#000000"/>
              <w:top w:sz="17.59999999999991" w:val="single" w:color="#000000"/>
              <w:end w:sz="17.600000000000023" w:val="single" w:color="#000000"/>
              <w:bottom w:sz="18.40000000000009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Delusional Score PLEs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0.172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-6.946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2.460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-2.824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0.025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6.816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0" w:h="11905"/>
          <w:pgMar w:top="960" w:right="1440" w:bottom="1036" w:left="9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1.9999999999999" w:type="dxa"/>
      </w:tblPr>
      <w:tblGrid>
        <w:gridCol w:w="1591"/>
        <w:gridCol w:w="1591"/>
        <w:gridCol w:w="1591"/>
        <w:gridCol w:w="1591"/>
        <w:gridCol w:w="1591"/>
        <w:gridCol w:w="1591"/>
        <w:gridCol w:w="1591"/>
        <w:gridCol w:w="1591"/>
        <w:gridCol w:w="1591"/>
        <w:gridCol w:w="1591"/>
      </w:tblGrid>
      <w:tr>
        <w:trPr>
          <w:trHeight w:hRule="exact" w:val="232"/>
        </w:trPr>
        <w:tc>
          <w:tcPr>
            <w:tcW w:type="dxa" w:w="1440"/>
            <w:vMerge w:val="restart"/>
            <w:tcBorders>
              <w:start w:sz="17.600000000000023" w:val="single" w:color="#000000"/>
              <w:top w:sz="4.0" w:val="single" w:color="#000000"/>
              <w:end w:sz="17.600000000000023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(1-year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8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6"/>
        </w:trPr>
        <w:tc>
          <w:tcPr>
            <w:tcW w:type="dxa" w:w="1591"/>
            <w:vMerge/>
            <w:tcBorders>
              <w:start w:sz="17.600000000000023" w:val="single" w:color="#000000"/>
              <w:top w:sz="4.0" w:val="single" w:color="#000000"/>
              <w:end w:sz="17.600000000000023" w:val="single" w:color="#000000"/>
              <w:bottom w:sz="18.399999999999864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0.136 </w:t>
            </w:r>
          </w:p>
        </w:tc>
        <w:tc>
          <w:tcPr>
            <w:tcW w:type="dxa" w:w="115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-6.854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2.617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-2.619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0.027 </w:t>
            </w:r>
          </w:p>
        </w:tc>
        <w:tc>
          <w:tcPr>
            <w:tcW w:type="dxa" w:w="1038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7.525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0"/>
        </w:trPr>
        <w:tc>
          <w:tcPr>
            <w:tcW w:type="dxa" w:w="1591"/>
            <w:vMerge/>
            <w:tcBorders>
              <w:start w:sz="17.600000000000023" w:val="single" w:color="#000000"/>
              <w:top w:sz="4.0" w:val="single" w:color="#000000"/>
              <w:end w:sz="17.600000000000023" w:val="single" w:color="#000000"/>
              <w:bottom w:sz="18.399999999999864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(1-year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0.038 </w:t>
            </w:r>
          </w:p>
        </w:tc>
        <w:tc>
          <w:tcPr>
            <w:tcW w:type="dxa" w:w="115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-8.246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2.834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-2.910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0.025 </w:t>
            </w:r>
          </w:p>
        </w:tc>
        <w:tc>
          <w:tcPr>
            <w:tcW w:type="dxa" w:w="1038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7.182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* </w:t>
            </w:r>
          </w:p>
        </w:tc>
      </w:tr>
      <w:tr>
        <w:trPr>
          <w:trHeight w:hRule="exact" w:val="506"/>
        </w:trPr>
        <w:tc>
          <w:tcPr>
            <w:tcW w:type="dxa" w:w="1591"/>
            <w:vMerge/>
            <w:tcBorders>
              <w:start w:sz="17.600000000000023" w:val="single" w:color="#000000"/>
              <w:top w:sz="4.0" w:val="single" w:color="#000000"/>
              <w:end w:sz="17.600000000000023" w:val="single" w:color="#000000"/>
              <w:bottom w:sz="18.399999999999864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0.089 </w:t>
            </w:r>
          </w:p>
        </w:tc>
        <w:tc>
          <w:tcPr>
            <w:tcW w:type="dxa" w:w="1158"/>
            <w:tcBorders>
              <w:start w:sz="18.399999999999636" w:val="single" w:color="#000000"/>
              <w:top w:sz="4.0" w:val="single" w:color="#000000"/>
              <w:end w:sz="4.0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-8.355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3.070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-2.721 </w:t>
            </w:r>
          </w:p>
        </w:tc>
        <w:tc>
          <w:tcPr>
            <w:tcW w:type="dxa" w:w="1406"/>
            <w:tcBorders>
              <w:start w:sz="4.0" w:val="single" w:color="#000000"/>
              <w:top w:sz="4.0" w:val="single" w:color="#000000"/>
              <w:end w:sz="17.599999999999454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0.025 </w:t>
            </w:r>
          </w:p>
        </w:tc>
        <w:tc>
          <w:tcPr>
            <w:tcW w:type="dxa" w:w="1038"/>
            <w:tcBorders>
              <w:start w:sz="17.599999999999454" w:val="single" w:color="#000000"/>
              <w:top w:sz="4.0" w:val="single" w:color="#000000"/>
              <w:end w:sz="4.0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9.484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18.399999999999636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18.3999999999998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auto" w:before="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1594 </w:t>
      </w:r>
    </w:p>
    <w:p>
      <w:pPr>
        <w:autoSpaceDN w:val="0"/>
        <w:autoSpaceDE w:val="0"/>
        <w:widowControl/>
        <w:spacing w:line="180" w:lineRule="auto" w:before="52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1595 </w:t>
      </w:r>
    </w:p>
    <w:p>
      <w:pPr>
        <w:autoSpaceDN w:val="0"/>
        <w:autoSpaceDE w:val="0"/>
        <w:widowControl/>
        <w:spacing w:line="180" w:lineRule="auto" w:before="38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1596 </w:t>
      </w:r>
    </w:p>
    <w:p>
      <w:pPr>
        <w:autoSpaceDN w:val="0"/>
        <w:autoSpaceDE w:val="0"/>
        <w:widowControl/>
        <w:spacing w:line="180" w:lineRule="auto" w:before="39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1597 </w:t>
      </w:r>
    </w:p>
    <w:p>
      <w:pPr>
        <w:autoSpaceDN w:val="0"/>
        <w:autoSpaceDE w:val="0"/>
        <w:widowControl/>
        <w:spacing w:line="180" w:lineRule="auto" w:before="38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1598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41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1599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Table S7. Comparison of the sample and national demographics.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Since household income for subjects in the study is presented as deciles, it is transformed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1600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into a monetary value by considering the income limits for each decile. The data for the US national demographics is available at Data is available at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428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1601 </w:t>
      </w:r>
      <w:r>
        <w:tab/>
      </w:r>
      <w:r>
        <w:rPr>
          <w:u w:val="single" w:color="0462c1"/>
          <w:rFonts w:ascii="Times New Roman" w:hAnsi="Times New Roman" w:eastAsia="Times New Roman"/>
          <w:b w:val="0"/>
          <w:i w:val="0"/>
          <w:color w:val="0563C1"/>
          <w:sz w:val="24"/>
        </w:rPr>
        <w:hyperlink r:id="rId19" w:history="1">
          <w:r>
            <w:rPr>
              <w:rStyle w:val="Hyperlink"/>
            </w:rPr>
            <w:t>https://www.census.gov/en.html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4.0" w:type="dxa"/>
      </w:tblPr>
      <w:tblGrid>
        <w:gridCol w:w="7953"/>
        <w:gridCol w:w="7953"/>
      </w:tblGrid>
      <w:tr>
        <w:trPr>
          <w:trHeight w:hRule="exact" w:val="491"/>
        </w:trPr>
        <w:tc>
          <w:tcPr>
            <w:tcW w:type="dxa" w:w="5002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98"/>
            <w:tcBorders>
              <w:start w:sz="12.0" w:val="single" w:color="#000000"/>
              <w:top w:sz="12.0" w:val="single" w:color="#000000"/>
              <w:end w:sz="11.200000000000728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Mean or Ratio (%)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0" w:h="11905"/>
          <w:pgMar w:top="960" w:right="738" w:bottom="1250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4.0" w:type="dxa"/>
      </w:tblPr>
      <w:tblGrid>
        <w:gridCol w:w="3976"/>
        <w:gridCol w:w="3976"/>
        <w:gridCol w:w="3976"/>
        <w:gridCol w:w="3976"/>
      </w:tblGrid>
      <w:tr>
        <w:trPr>
          <w:trHeight w:hRule="exact" w:val="514"/>
        </w:trPr>
        <w:tc>
          <w:tcPr>
            <w:tcW w:type="dxa" w:w="5002"/>
            <w:gridSpan w:val="2"/>
            <w:tcBorders>
              <w:start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9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Subjects in our study </w:t>
            </w:r>
          </w:p>
        </w:tc>
        <w:tc>
          <w:tcPr>
            <w:tcW w:type="dxa" w:w="5000"/>
            <w:tcBorders>
              <w:start w:sz="12.0" w:val="single" w:color="#000000"/>
              <w:top w:sz="12.0" w:val="single" w:color="#000000"/>
              <w:end w:sz="11.200000000000728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US National Demographics </w:t>
            </w:r>
          </w:p>
        </w:tc>
      </w:tr>
      <w:tr>
        <w:trPr>
          <w:trHeight w:hRule="exact" w:val="508"/>
        </w:trPr>
        <w:tc>
          <w:tcPr>
            <w:tcW w:type="dxa" w:w="5002"/>
            <w:gridSpan w:val="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Household Income </w:t>
            </w:r>
          </w:p>
        </w:tc>
        <w:tc>
          <w:tcPr>
            <w:tcW w:type="dxa" w:w="4998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$116,538 </w:t>
            </w:r>
          </w:p>
        </w:tc>
        <w:tc>
          <w:tcPr>
            <w:tcW w:type="dxa" w:w="5000"/>
            <w:tcBorders>
              <w:start w:sz="12.0" w:val="single" w:color="#000000"/>
              <w:top w:sz="12.0" w:val="single" w:color="#000000"/>
              <w:end w:sz="11.20000000000072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$60,336 </w:t>
            </w:r>
          </w:p>
        </w:tc>
      </w:tr>
      <w:tr>
        <w:trPr>
          <w:trHeight w:hRule="exact" w:val="520"/>
        </w:trPr>
        <w:tc>
          <w:tcPr>
            <w:tcW w:type="dxa" w:w="250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Sex </w:t>
            </w:r>
          </w:p>
        </w:tc>
        <w:tc>
          <w:tcPr>
            <w:tcW w:type="dxa" w:w="250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Male </w:t>
            </w:r>
          </w:p>
        </w:tc>
        <w:tc>
          <w:tcPr>
            <w:tcW w:type="dxa" w:w="4998"/>
            <w:tcBorders>
              <w:start w:sz="12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53.86% </w:t>
            </w:r>
          </w:p>
        </w:tc>
        <w:tc>
          <w:tcPr>
            <w:tcW w:type="dxa" w:w="5000"/>
            <w:tcBorders>
              <w:start w:sz="12.0" w:val="single" w:color="#000000"/>
              <w:top w:sz="4.0" w:val="single" w:color="#000000"/>
              <w:end w:sz="11.20000000000072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51.16% </w:t>
            </w:r>
          </w:p>
        </w:tc>
      </w:tr>
      <w:tr>
        <w:trPr>
          <w:trHeight w:hRule="exact" w:val="513"/>
        </w:trPr>
        <w:tc>
          <w:tcPr>
            <w:tcW w:type="dxa" w:w="2502"/>
            <w:vMerge w:val="restart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Ethnicity/Race </w:t>
            </w:r>
          </w:p>
        </w:tc>
        <w:tc>
          <w:tcPr>
            <w:tcW w:type="dxa" w:w="2500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White </w:t>
            </w:r>
          </w:p>
        </w:tc>
        <w:tc>
          <w:tcPr>
            <w:tcW w:type="dxa" w:w="4998"/>
            <w:tcBorders>
              <w:start w:sz="12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65.57% </w:t>
            </w:r>
          </w:p>
        </w:tc>
        <w:tc>
          <w:tcPr>
            <w:tcW w:type="dxa" w:w="5000"/>
            <w:tcBorders>
              <w:start w:sz="12.0" w:val="single" w:color="#000000"/>
              <w:top w:sz="4.0" w:val="single" w:color="#000000"/>
              <w:end w:sz="11.20000000000072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57.8% </w:t>
            </w:r>
          </w:p>
        </w:tc>
      </w:tr>
      <w:tr>
        <w:trPr>
          <w:trHeight w:hRule="exact" w:val="500"/>
        </w:trPr>
        <w:tc>
          <w:tcPr>
            <w:tcW w:type="dxa" w:w="3976"/>
            <w:vMerge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</w:tcPr>
          <w:p/>
        </w:tc>
        <w:tc>
          <w:tcPr>
            <w:tcW w:type="dxa" w:w="2500"/>
            <w:tcBorders>
              <w:start w:sz="12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Black </w:t>
            </w:r>
          </w:p>
        </w:tc>
        <w:tc>
          <w:tcPr>
            <w:tcW w:type="dxa" w:w="4998"/>
            <w:tcBorders>
              <w:start w:sz="12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6.37% </w:t>
            </w:r>
          </w:p>
        </w:tc>
        <w:tc>
          <w:tcPr>
            <w:tcW w:type="dxa" w:w="5000"/>
            <w:tcBorders>
              <w:start w:sz="12.0" w:val="single" w:color="#000000"/>
              <w:top w:sz="4.0" w:val="single" w:color="#000000"/>
              <w:end w:sz="11.20000000000072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12.1% </w:t>
            </w:r>
          </w:p>
        </w:tc>
      </w:tr>
      <w:tr>
        <w:trPr>
          <w:trHeight w:hRule="exact" w:val="494"/>
        </w:trPr>
        <w:tc>
          <w:tcPr>
            <w:tcW w:type="dxa" w:w="3976"/>
            <w:vMerge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</w:tcPr>
          <w:p/>
        </w:tc>
        <w:tc>
          <w:tcPr>
            <w:tcW w:type="dxa" w:w="2500"/>
            <w:tcBorders>
              <w:start w:sz="12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Hispanic </w:t>
            </w:r>
          </w:p>
        </w:tc>
        <w:tc>
          <w:tcPr>
            <w:tcW w:type="dxa" w:w="4998"/>
            <w:tcBorders>
              <w:start w:sz="12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17.47% </w:t>
            </w:r>
          </w:p>
        </w:tc>
        <w:tc>
          <w:tcPr>
            <w:tcW w:type="dxa" w:w="5000"/>
            <w:tcBorders>
              <w:start w:sz="12.0" w:val="single" w:color="#000000"/>
              <w:top w:sz="4.0" w:val="single" w:color="#000000"/>
              <w:end w:sz="11.20000000000072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18.7% </w:t>
            </w:r>
          </w:p>
        </w:tc>
      </w:tr>
      <w:tr>
        <w:trPr>
          <w:trHeight w:hRule="exact" w:val="502"/>
        </w:trPr>
        <w:tc>
          <w:tcPr>
            <w:tcW w:type="dxa" w:w="3976"/>
            <w:vMerge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</w:tcPr>
          <w:p/>
        </w:tc>
        <w:tc>
          <w:tcPr>
            <w:tcW w:type="dxa" w:w="2500"/>
            <w:tcBorders>
              <w:start w:sz="12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Asian </w:t>
            </w:r>
          </w:p>
        </w:tc>
        <w:tc>
          <w:tcPr>
            <w:tcW w:type="dxa" w:w="4998"/>
            <w:tcBorders>
              <w:start w:sz="12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0.33% </w:t>
            </w:r>
          </w:p>
        </w:tc>
        <w:tc>
          <w:tcPr>
            <w:tcW w:type="dxa" w:w="5000"/>
            <w:tcBorders>
              <w:start w:sz="12.0" w:val="single" w:color="#000000"/>
              <w:top w:sz="4.0" w:val="single" w:color="#000000"/>
              <w:end w:sz="11.20000000000072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6.1% </w:t>
            </w:r>
          </w:p>
        </w:tc>
      </w:tr>
      <w:tr>
        <w:trPr>
          <w:trHeight w:hRule="exact" w:val="504"/>
        </w:trPr>
        <w:tc>
          <w:tcPr>
            <w:tcW w:type="dxa" w:w="3976"/>
            <w:vMerge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</w:tcPr>
          <w:p/>
        </w:tc>
        <w:tc>
          <w:tcPr>
            <w:tcW w:type="dxa" w:w="2500"/>
            <w:tcBorders>
              <w:start w:sz="12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Other </w:t>
            </w:r>
          </w:p>
        </w:tc>
        <w:tc>
          <w:tcPr>
            <w:tcW w:type="dxa" w:w="4998"/>
            <w:tcBorders>
              <w:start w:sz="12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10.26% </w:t>
            </w:r>
          </w:p>
        </w:tc>
        <w:tc>
          <w:tcPr>
            <w:tcW w:type="dxa" w:w="5000"/>
            <w:tcBorders>
              <w:start w:sz="12.0" w:val="single" w:color="#000000"/>
              <w:top w:sz="4.0" w:val="single" w:color="#000000"/>
              <w:end w:sz="11.200000000000728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12.4% </w:t>
            </w:r>
          </w:p>
        </w:tc>
      </w:tr>
    </w:tbl>
    <w:p>
      <w:pPr>
        <w:autoSpaceDN w:val="0"/>
        <w:autoSpaceDE w:val="0"/>
        <w:widowControl/>
        <w:spacing w:line="180" w:lineRule="auto" w:before="8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1602 </w:t>
      </w:r>
    </w:p>
    <w:p>
      <w:pPr>
        <w:autoSpaceDN w:val="0"/>
        <w:autoSpaceDE w:val="0"/>
        <w:widowControl/>
        <w:spacing w:line="178" w:lineRule="auto" w:before="544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1603 </w:t>
      </w:r>
    </w:p>
    <w:p>
      <w:pPr>
        <w:autoSpaceDN w:val="0"/>
        <w:tabs>
          <w:tab w:pos="800" w:val="left"/>
        </w:tabs>
        <w:autoSpaceDE w:val="0"/>
        <w:widowControl/>
        <w:spacing w:line="216" w:lineRule="auto" w:before="43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1604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Adjusting for Sample Selection Bias with Inverse Probability Weighting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46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1605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Our primary analysis required stringent quality control, resulting in a final analytical sample of 2,135 participants from an initial cohort of 11,876. To address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1606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potential selection bias stemming from this substantial sample reduction, we performed a sensitivity analysis using inverse probability weighting. </w:t>
      </w:r>
    </w:p>
    <w:p>
      <w:pPr>
        <w:autoSpaceDN w:val="0"/>
        <w:tabs>
          <w:tab w:pos="800" w:val="left"/>
        </w:tabs>
        <w:autoSpaceDE w:val="0"/>
        <w:widowControl/>
        <w:spacing w:line="185" w:lineRule="auto" w:before="4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1607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procedure involved two stages. First, we fit a logistic regression model to the full cohort (N = 11,876) to estimate each participant's probability of being </w:t>
      </w:r>
    </w:p>
    <w:p>
      <w:pPr>
        <w:sectPr>
          <w:pgSz w:w="16840" w:h="11905"/>
          <w:pgMar w:top="960" w:right="738" w:bottom="1032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1608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included in the final sample. The predictors for this model comprised all baseline covariates used in our main Integrated model, including sociodemographics,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1609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delay discounting, genetic, and neuroimaging variables. Second, for each of the 2,135 participants in our final sample, we calculated stabilized weights as the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1610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inverse of their estimated probability of inclusion.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1611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Finally, we re-ran our primary IV Forest analysis, incorporating these stabilized weights into the estimation. This generated selection-bias-adjusted estimates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1612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both the average and heterogeneous effects of neighborhood adversity. </w:t>
      </w:r>
    </w:p>
    <w:p>
      <w:pPr>
        <w:autoSpaceDN w:val="0"/>
        <w:autoSpaceDE w:val="0"/>
        <w:widowControl/>
        <w:spacing w:line="180" w:lineRule="auto" w:before="42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1613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1614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Table S8. Results of Sensitivity Analysis with Inverse Probability Weighting.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table presents the results of a sensitivity analysis using inverse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probability weighting to assess the impact of potential sample selection bias. The heterogeneous associations of neighborhood adversity (ADI) with 1-year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1616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follow-up distress and hallucinational PLEs, estimated from our Integrated model, remained statistically significant after the inverse probability weighting </w:t>
      </w:r>
    </w:p>
    <w:p>
      <w:pPr>
        <w:autoSpaceDN w:val="0"/>
        <w:tabs>
          <w:tab w:pos="800" w:val="left"/>
        </w:tabs>
        <w:autoSpaceDE w:val="0"/>
        <w:widowControl/>
        <w:spacing w:line="187" w:lineRule="auto" w:before="260" w:after="428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1617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1.9999999999999" w:type="dxa"/>
      </w:tblPr>
      <w:tblGrid>
        <w:gridCol w:w="1591"/>
        <w:gridCol w:w="1591"/>
        <w:gridCol w:w="1591"/>
        <w:gridCol w:w="1591"/>
        <w:gridCol w:w="1591"/>
        <w:gridCol w:w="1591"/>
        <w:gridCol w:w="1591"/>
        <w:gridCol w:w="1591"/>
        <w:gridCol w:w="1591"/>
        <w:gridCol w:w="1591"/>
      </w:tblGrid>
      <w:tr>
        <w:trPr>
          <w:trHeight w:hRule="exact" w:val="460"/>
        </w:trPr>
        <w:tc>
          <w:tcPr>
            <w:tcW w:type="dxa" w:w="4006"/>
            <w:gridSpan w:val="2"/>
            <w:vMerge w:val="restart"/>
            <w:tcBorders>
              <w:start w:sz="17.600000000000023" w:val="single" w:color="#000000"/>
              <w:top w:sz="18.40000000000009" w:val="single" w:color="#000000"/>
              <w:end w:sz="17.600000000000136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17.600000000000136" w:val="single" w:color="#000000"/>
              <w:top w:sz="18.40000000000009" w:val="single" w:color="#000000"/>
              <w:end w:sz="18.399999999999636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Monotonicity </w:t>
            </w:r>
          </w:p>
        </w:tc>
        <w:tc>
          <w:tcPr>
            <w:tcW w:type="dxa" w:w="4842"/>
            <w:gridSpan w:val="4"/>
            <w:tcBorders>
              <w:start w:sz="18.399999999999636" w:val="single" w:color="#000000"/>
              <w:top w:sz="18.40000000000009" w:val="single" w:color="#000000"/>
              <w:end w:sz="17.599999999999454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Alternative Hypothesis </w:t>
            </w:r>
          </w:p>
        </w:tc>
        <w:tc>
          <w:tcPr>
            <w:tcW w:type="dxa" w:w="2262"/>
            <w:gridSpan w:val="2"/>
            <w:tcBorders>
              <w:start w:sz="17.599999999999454" w:val="single" w:color="#000000"/>
              <w:top w:sz="18.40000000000009" w:val="single" w:color="#000000"/>
              <w:end w:sz="18.399999999999636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ANOVA </w:t>
            </w:r>
          </w:p>
        </w:tc>
        <w:tc>
          <w:tcPr>
            <w:tcW w:type="dxa" w:w="1250"/>
            <w:vMerge w:val="restart"/>
            <w:tcBorders>
              <w:start w:sz="18.399999999999636" w:val="single" w:color="#000000"/>
              <w:top w:sz="18.40000000000009" w:val="single" w:color="#000000"/>
              <w:end w:sz="18.399999999999636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Overall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Significance</w:t>
            </w:r>
          </w:p>
        </w:tc>
      </w:tr>
      <w:tr>
        <w:trPr>
          <w:trHeight w:hRule="exact" w:val="560"/>
        </w:trPr>
        <w:tc>
          <w:tcPr>
            <w:tcW w:type="dxa" w:w="3182"/>
            <w:gridSpan w:val="2"/>
            <w:vMerge/>
            <w:tcBorders>
              <w:start w:sz="17.600000000000023" w:val="single" w:color="#000000"/>
              <w:top w:sz="18.40000000000009" w:val="single" w:color="#000000"/>
              <w:end w:sz="17.600000000000136" w:val="single" w:color="#000000"/>
              <w:bottom w:sz="18.40000000000009" w:val="single" w:color="#000000"/>
            </w:tcBorders>
          </w:tcPr>
          <w:p/>
        </w:tc>
        <w:tc>
          <w:tcPr>
            <w:tcW w:type="dxa" w:w="1780"/>
            <w:tcBorders>
              <w:start w:sz="17.600000000000136" w:val="single" w:color="#000000"/>
              <w:top w:sz="18.40000000000009" w:val="single" w:color="#000000"/>
              <w:end w:sz="18.399999999999636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p-FDR </w:t>
            </w:r>
          </w:p>
        </w:tc>
        <w:tc>
          <w:tcPr>
            <w:tcW w:type="dxa" w:w="1150"/>
            <w:tcBorders>
              <w:start w:sz="18.399999999999636" w:val="single" w:color="#000000"/>
              <w:top w:sz="18.40000000000009" w:val="single" w:color="#000000"/>
              <w:end w:sz="4.0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Estimate </w:t>
            </w:r>
          </w:p>
        </w:tc>
        <w:tc>
          <w:tcPr>
            <w:tcW w:type="dxa" w:w="1140"/>
            <w:tcBorders>
              <w:start w:sz="4.0" w:val="single" w:color="#000000"/>
              <w:top w:sz="18.40000000000009" w:val="single" w:color="#000000"/>
              <w:end w:sz="4.0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Std. Error </w:t>
            </w:r>
          </w:p>
        </w:tc>
        <w:tc>
          <w:tcPr>
            <w:tcW w:type="dxa" w:w="1140"/>
            <w:tcBorders>
              <w:start w:sz="4.0" w:val="single" w:color="#000000"/>
              <w:top w:sz="18.40000000000009" w:val="single" w:color="#000000"/>
              <w:end w:sz="4.0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t-value </w:t>
            </w:r>
          </w:p>
        </w:tc>
        <w:tc>
          <w:tcPr>
            <w:tcW w:type="dxa" w:w="1412"/>
            <w:tcBorders>
              <w:start w:sz="4.0" w:val="single" w:color="#000000"/>
              <w:top w:sz="18.40000000000009" w:val="single" w:color="#000000"/>
              <w:end w:sz="17.599999999999454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p-FDR </w:t>
            </w:r>
          </w:p>
        </w:tc>
        <w:tc>
          <w:tcPr>
            <w:tcW w:type="dxa" w:w="1032"/>
            <w:tcBorders>
              <w:start w:sz="17.599999999999454" w:val="single" w:color="#000000"/>
              <w:top w:sz="18.40000000000009" w:val="single" w:color="#000000"/>
              <w:end w:sz="4.0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F-value </w:t>
            </w:r>
          </w:p>
        </w:tc>
        <w:tc>
          <w:tcPr>
            <w:tcW w:type="dxa" w:w="1230"/>
            <w:tcBorders>
              <w:start w:sz="4.0" w:val="single" w:color="#000000"/>
              <w:top w:sz="18.40000000000009" w:val="single" w:color="#000000"/>
              <w:end w:sz="18.399999999999636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p-FDR </w:t>
            </w:r>
          </w:p>
        </w:tc>
        <w:tc>
          <w:tcPr>
            <w:tcW w:type="dxa" w:w="1591"/>
            <w:vMerge/>
            <w:tcBorders>
              <w:start w:sz="18.399999999999636" w:val="single" w:color="#000000"/>
              <w:top w:sz="18.40000000000009" w:val="single" w:color="#000000"/>
              <w:end w:sz="18.399999999999636" w:val="single" w:color="#000000"/>
              <w:bottom w:sz="18.40000000000009" w:val="single" w:color="#000000"/>
            </w:tcBorders>
          </w:tcPr>
          <w:p/>
        </w:tc>
      </w:tr>
      <w:tr>
        <w:trPr>
          <w:trHeight w:hRule="exact" w:val="472"/>
        </w:trPr>
        <w:tc>
          <w:tcPr>
            <w:tcW w:type="dxa" w:w="1440"/>
            <w:vMerge w:val="restart"/>
            <w:tcBorders>
              <w:start w:sz="17.600000000000023" w:val="single" w:color="#000000"/>
              <w:top w:sz="18.40000000000009" w:val="single" w:color="#000000"/>
              <w:end w:sz="17.600000000000023" w:val="single" w:color="#000000"/>
              <w:bottom w:sz="18.400000000000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Integrated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Model </w:t>
            </w:r>
          </w:p>
        </w:tc>
        <w:tc>
          <w:tcPr>
            <w:tcW w:type="dxa" w:w="2566"/>
            <w:tcBorders>
              <w:start w:sz="17.600000000000023" w:val="single" w:color="#000000"/>
              <w:top w:sz="18.40000000000009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Distress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(1-year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18.40000000000009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0.011 </w:t>
            </w:r>
          </w:p>
        </w:tc>
        <w:tc>
          <w:tcPr>
            <w:tcW w:type="dxa" w:w="1150"/>
            <w:tcBorders>
              <w:start w:sz="18.399999999999636" w:val="single" w:color="#000000"/>
              <w:top w:sz="18.400000000000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-8.922 </w:t>
            </w:r>
          </w:p>
        </w:tc>
        <w:tc>
          <w:tcPr>
            <w:tcW w:type="dxa" w:w="1140"/>
            <w:tcBorders>
              <w:start w:sz="4.0" w:val="single" w:color="#000000"/>
              <w:top w:sz="18.400000000000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2.922 </w:t>
            </w:r>
          </w:p>
        </w:tc>
        <w:tc>
          <w:tcPr>
            <w:tcW w:type="dxa" w:w="1140"/>
            <w:tcBorders>
              <w:start w:sz="4.0" w:val="single" w:color="#000000"/>
              <w:top w:sz="18.400000000000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-3.053 </w:t>
            </w:r>
          </w:p>
        </w:tc>
        <w:tc>
          <w:tcPr>
            <w:tcW w:type="dxa" w:w="1412"/>
            <w:tcBorders>
              <w:start w:sz="4.0" w:val="single" w:color="#000000"/>
              <w:top w:sz="18.40000000000009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0.008 </w:t>
            </w:r>
          </w:p>
        </w:tc>
        <w:tc>
          <w:tcPr>
            <w:tcW w:type="dxa" w:w="1032"/>
            <w:tcBorders>
              <w:start w:sz="17.599999999999454" w:val="single" w:color="#000000"/>
              <w:top w:sz="18.400000000000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8.388 </w:t>
            </w:r>
          </w:p>
        </w:tc>
        <w:tc>
          <w:tcPr>
            <w:tcW w:type="dxa" w:w="1230"/>
            <w:tcBorders>
              <w:start w:sz="4.0" w:val="single" w:color="#000000"/>
              <w:top w:sz="18.40000000000009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18.40000000000009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* </w:t>
            </w:r>
          </w:p>
        </w:tc>
      </w:tr>
      <w:tr>
        <w:trPr>
          <w:trHeight w:hRule="exact" w:val="270"/>
        </w:trPr>
        <w:tc>
          <w:tcPr>
            <w:tcW w:type="dxa" w:w="1591"/>
            <w:vMerge/>
            <w:tcBorders>
              <w:start w:sz="17.600000000000023" w:val="single" w:color="#000000"/>
              <w:top w:sz="18.40000000000009" w:val="single" w:color="#000000"/>
              <w:end w:sz="17.600000000000023" w:val="single" w:color="#000000"/>
              <w:bottom w:sz="18.40000000000009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Distress Score PLEs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0.074 </w:t>
            </w:r>
          </w:p>
        </w:tc>
        <w:tc>
          <w:tcPr>
            <w:tcW w:type="dxa" w:w="1150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-9.343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3.469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-2.693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0.008 </w:t>
            </w:r>
          </w:p>
        </w:tc>
        <w:tc>
          <w:tcPr>
            <w:tcW w:type="dxa" w:w="1032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7.361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0" w:h="11905"/>
          <w:pgMar w:top="960" w:right="736" w:bottom="1090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1.9999999999999" w:type="dxa"/>
      </w:tblPr>
      <w:tblGrid>
        <w:gridCol w:w="1590"/>
        <w:gridCol w:w="1590"/>
        <w:gridCol w:w="1590"/>
        <w:gridCol w:w="1590"/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232"/>
        </w:trPr>
        <w:tc>
          <w:tcPr>
            <w:tcW w:type="dxa" w:w="1440"/>
            <w:vMerge w:val="restart"/>
            <w:tcBorders>
              <w:start w:sz="17.600000000000023" w:val="single" w:color="#000000"/>
              <w:top w:sz="4.0" w:val="single" w:color="#000000"/>
              <w:end w:sz="17.600000000000023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6"/>
        </w:trPr>
        <w:tc>
          <w:tcPr>
            <w:tcW w:type="dxa" w:w="1590"/>
            <w:vMerge/>
            <w:tcBorders>
              <w:start w:sz="17.600000000000023" w:val="single" w:color="#000000"/>
              <w:top w:sz="4.0" w:val="single" w:color="#000000"/>
              <w:end w:sz="17.600000000000023" w:val="single" w:color="#000000"/>
              <w:bottom w:sz="17.600000000000136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(1-year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0.172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-6.946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2.460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-2.824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0.008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6.816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0"/>
        </w:trPr>
        <w:tc>
          <w:tcPr>
            <w:tcW w:type="dxa" w:w="1590"/>
            <w:vMerge/>
            <w:tcBorders>
              <w:start w:sz="17.600000000000023" w:val="single" w:color="#000000"/>
              <w:top w:sz="4.0" w:val="single" w:color="#000000"/>
              <w:end w:sz="17.600000000000023" w:val="single" w:color="#000000"/>
              <w:bottom w:sz="17.600000000000136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Delusional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0.136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-6.854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2.617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-2.619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0.009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7.525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0"/>
        </w:trPr>
        <w:tc>
          <w:tcPr>
            <w:tcW w:type="dxa" w:w="1590"/>
            <w:vMerge/>
            <w:tcBorders>
              <w:start w:sz="17.600000000000023" w:val="single" w:color="#000000"/>
              <w:top w:sz="4.0" w:val="single" w:color="#000000"/>
              <w:end w:sz="17.600000000000023" w:val="single" w:color="#000000"/>
              <w:bottom w:sz="17.600000000000136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(1-year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0.038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-8.246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2.834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-2.910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0.008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7.182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* </w:t>
            </w:r>
          </w:p>
        </w:tc>
      </w:tr>
      <w:tr>
        <w:trPr>
          <w:trHeight w:hRule="exact" w:val="502"/>
        </w:trPr>
        <w:tc>
          <w:tcPr>
            <w:tcW w:type="dxa" w:w="1590"/>
            <w:vMerge/>
            <w:tcBorders>
              <w:start w:sz="17.600000000000023" w:val="single" w:color="#000000"/>
              <w:top w:sz="4.0" w:val="single" w:color="#000000"/>
              <w:end w:sz="17.600000000000023" w:val="single" w:color="#000000"/>
              <w:bottom w:sz="17.600000000000136" w:val="single" w:color="#000000"/>
            </w:tcBorders>
          </w:tcPr>
          <w:p/>
        </w:tc>
        <w:tc>
          <w:tcPr>
            <w:tcW w:type="dxa" w:w="2566"/>
            <w:tcBorders>
              <w:start w:sz="17.600000000000023" w:val="single" w:color="#000000"/>
              <w:top w:sz="4.0" w:val="single" w:color="#000000"/>
              <w:end w:sz="17.600000000000136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Hallucinational Score PLEs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(2-year follow-up) </w:t>
            </w:r>
          </w:p>
        </w:tc>
        <w:tc>
          <w:tcPr>
            <w:tcW w:type="dxa" w:w="1780"/>
            <w:tcBorders>
              <w:start w:sz="17.600000000000136" w:val="single" w:color="#000000"/>
              <w:top w:sz="4.0" w:val="single" w:color="#000000"/>
              <w:end w:sz="18.399999999999636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0.089 </w:t>
            </w:r>
          </w:p>
        </w:tc>
        <w:tc>
          <w:tcPr>
            <w:tcW w:type="dxa" w:w="1148"/>
            <w:tcBorders>
              <w:start w:sz="18.399999999999636" w:val="single" w:color="#000000"/>
              <w:top w:sz="4.0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-8.355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3.070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-2.721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7.599999999999454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0.008 </w:t>
            </w:r>
          </w:p>
        </w:tc>
        <w:tc>
          <w:tcPr>
            <w:tcW w:type="dxa" w:w="1030"/>
            <w:tcBorders>
              <w:start w:sz="17.599999999999454" w:val="single" w:color="#000000"/>
              <w:top w:sz="4.0" w:val="single" w:color="#000000"/>
              <w:end w:sz="4.0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9.484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18.399999999999636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&lt;0.001 </w:t>
            </w:r>
          </w:p>
        </w:tc>
        <w:tc>
          <w:tcPr>
            <w:tcW w:type="dxa" w:w="1250"/>
            <w:tcBorders>
              <w:start w:sz="18.399999999999636" w:val="single" w:color="#000000"/>
              <w:top w:sz="4.0" w:val="single" w:color="#000000"/>
              <w:end w:sz="18.399999999999636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auto" w:before="16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1618 </w:t>
      </w:r>
    </w:p>
    <w:p>
      <w:pPr>
        <w:autoSpaceDN w:val="0"/>
        <w:autoSpaceDE w:val="0"/>
        <w:widowControl/>
        <w:spacing w:line="180" w:lineRule="auto" w:before="43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1619 </w:t>
      </w:r>
    </w:p>
    <w:p>
      <w:pPr>
        <w:autoSpaceDN w:val="0"/>
        <w:autoSpaceDE w:val="0"/>
        <w:widowControl/>
        <w:spacing w:line="180" w:lineRule="auto" w:before="438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1620 </w:t>
      </w:r>
    </w:p>
    <w:p>
      <w:pPr>
        <w:autoSpaceDN w:val="0"/>
        <w:autoSpaceDE w:val="0"/>
        <w:widowControl/>
        <w:spacing w:line="180" w:lineRule="auto" w:before="432" w:after="376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1621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99"/>
        <w:gridCol w:w="5299"/>
        <w:gridCol w:w="5299"/>
      </w:tblGrid>
      <w:tr>
        <w:trPr>
          <w:trHeight w:hRule="exact" w:val="566"/>
        </w:trPr>
        <w:tc>
          <w:tcPr>
            <w:tcW w:type="dxa" w:w="6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92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1622 </w:t>
            </w:r>
          </w:p>
          <w:p>
            <w:pPr>
              <w:autoSpaceDN w:val="0"/>
              <w:autoSpaceDE w:val="0"/>
              <w:widowControl/>
              <w:spacing w:line="245" w:lineRule="auto" w:before="184" w:after="0"/>
              <w:ind w:left="0" w:right="134" w:firstLine="0"/>
              <w:jc w:val="both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1623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1624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1625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1626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1627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1628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1629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1630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1631 </w:t>
            </w: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1632 </w:t>
            </w:r>
          </w:p>
        </w:tc>
        <w:tc>
          <w:tcPr>
            <w:tcW w:type="dxa" w:w="1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Supplementary References </w:t>
            </w:r>
          </w:p>
        </w:tc>
      </w:tr>
      <w:tr>
        <w:trPr>
          <w:trHeight w:hRule="exact" w:val="460"/>
        </w:trPr>
        <w:tc>
          <w:tcPr>
            <w:tcW w:type="dxa" w:w="5299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 </w:t>
            </w:r>
          </w:p>
        </w:tc>
        <w:tc>
          <w:tcPr>
            <w:tcW w:type="dxa" w:w="1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Wager, S. &amp; Athey, S. Estimation and Inference of Heterogeneous Treatment Effects using Random Forests.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Journal of the American Statistical Association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113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</w:t>
            </w:r>
          </w:p>
        </w:tc>
      </w:tr>
      <w:tr>
        <w:trPr>
          <w:trHeight w:hRule="exact" w:val="260"/>
        </w:trPr>
        <w:tc>
          <w:tcPr>
            <w:tcW w:type="dxa" w:w="5299"/>
            <w:vMerge/>
            <w:tcBorders/>
          </w:tcPr>
          <w:p/>
        </w:tc>
        <w:tc>
          <w:tcPr>
            <w:tcW w:type="dxa" w:w="1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1228-1242 (2018). DOI:10.1080/01621459.2017.1319839 </w:t>
            </w:r>
          </w:p>
        </w:tc>
      </w:tr>
      <w:tr>
        <w:trPr>
          <w:trHeight w:hRule="exact" w:val="240"/>
        </w:trPr>
        <w:tc>
          <w:tcPr>
            <w:tcW w:type="dxa" w:w="5299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 </w:t>
            </w:r>
          </w:p>
        </w:tc>
        <w:tc>
          <w:tcPr>
            <w:tcW w:type="dxa" w:w="1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Athey, S., Tibshirani, J. &amp; Wager, S. Generalized random forests.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The Annals of Statistics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47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1148-1178 (2019). DOI:10.1214/18-AOS1709 </w:t>
            </w:r>
          </w:p>
        </w:tc>
      </w:tr>
      <w:tr>
        <w:trPr>
          <w:trHeight w:hRule="exact" w:val="240"/>
        </w:trPr>
        <w:tc>
          <w:tcPr>
            <w:tcW w:type="dxa" w:w="5299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 </w:t>
            </w:r>
          </w:p>
        </w:tc>
        <w:tc>
          <w:tcPr>
            <w:tcW w:type="dxa" w:w="1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Karcher, N. R.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et al.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Assessment of the Prodromal Questionnaire–Brief Child Version for Measurement of Self-reported Psychotic-like Experiences in Childhood. </w:t>
            </w:r>
          </w:p>
        </w:tc>
      </w:tr>
      <w:tr>
        <w:trPr>
          <w:trHeight w:hRule="exact" w:val="240"/>
        </w:trPr>
        <w:tc>
          <w:tcPr>
            <w:tcW w:type="dxa" w:w="5299"/>
            <w:vMerge/>
            <w:tcBorders/>
          </w:tcPr>
          <w:p/>
        </w:tc>
        <w:tc>
          <w:tcPr>
            <w:tcW w:type="dxa" w:w="1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8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JAMA Psychiatry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75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853 (2018). DOI: 10.1001/jamapsychiatry.2018.1334 </w:t>
            </w:r>
          </w:p>
        </w:tc>
      </w:tr>
      <w:tr>
        <w:trPr>
          <w:trHeight w:hRule="exact" w:val="252"/>
        </w:trPr>
        <w:tc>
          <w:tcPr>
            <w:tcW w:type="dxa" w:w="5299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 </w:t>
            </w:r>
          </w:p>
        </w:tc>
        <w:tc>
          <w:tcPr>
            <w:tcW w:type="dxa" w:w="1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Achenbach, T. M. &amp; Ruffle, T. M. The Child Behavior Checklist and related forms for assessing behavioral/emotional problems and competencies.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Pediatrics in </w:t>
            </w:r>
          </w:p>
        </w:tc>
      </w:tr>
      <w:tr>
        <w:trPr>
          <w:trHeight w:hRule="exact" w:val="228"/>
        </w:trPr>
        <w:tc>
          <w:tcPr>
            <w:tcW w:type="dxa" w:w="5299"/>
            <w:vMerge/>
            <w:tcBorders/>
          </w:tcPr>
          <w:p/>
        </w:tc>
        <w:tc>
          <w:tcPr>
            <w:tcW w:type="dxa" w:w="1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Review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265-271 (2000). </w:t>
            </w:r>
          </w:p>
        </w:tc>
      </w:tr>
      <w:tr>
        <w:trPr>
          <w:trHeight w:hRule="exact" w:val="262"/>
        </w:trPr>
        <w:tc>
          <w:tcPr>
            <w:tcW w:type="dxa" w:w="5299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 </w:t>
            </w:r>
          </w:p>
        </w:tc>
        <w:tc>
          <w:tcPr>
            <w:tcW w:type="dxa" w:w="1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VanderWeele, T. J. &amp; Ding, P. Sensitivity Analysis in Observational Research: Introducing the E-Value.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Annals of Internal Medicine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167, 268-274 (2017). DOI: </w:t>
            </w:r>
          </w:p>
        </w:tc>
      </w:tr>
      <w:tr>
        <w:trPr>
          <w:trHeight w:hRule="exact" w:val="224"/>
        </w:trPr>
        <w:tc>
          <w:tcPr>
            <w:tcW w:type="dxa" w:w="5299"/>
            <w:vMerge/>
            <w:tcBorders/>
          </w:tcPr>
          <w:p/>
        </w:tc>
        <w:tc>
          <w:tcPr>
            <w:tcW w:type="dxa" w:w="1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10.7326/M16-2607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40" w:h="11905"/>
          <w:pgMar w:top="960" w:right="746" w:bottom="1030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8"/>
        <w:gridCol w:w="5148"/>
        <w:gridCol w:w="5148"/>
      </w:tblGrid>
      <w:tr>
        <w:trPr>
          <w:trHeight w:hRule="exact" w:val="246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1633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6. </w:t>
            </w:r>
          </w:p>
        </w:tc>
        <w:tc>
          <w:tcPr>
            <w:tcW w:type="dxa" w:w="1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Chernozhukov, V.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et al.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Double/debiased machine learning for treatment and structural parameters.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The Econometrics Journal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C1-C68 (2018). </w:t>
            </w:r>
          </w:p>
        </w:tc>
      </w:tr>
      <w:tr>
        <w:trPr>
          <w:trHeight w:hRule="exact" w:val="257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1634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7. </w:t>
            </w:r>
          </w:p>
        </w:tc>
        <w:tc>
          <w:tcPr>
            <w:tcW w:type="dxa" w:w="1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DOI:10.1111/ectj.12097 </w:t>
            </w:r>
          </w:p>
        </w:tc>
      </w:tr>
      <w:tr>
        <w:trPr>
          <w:trHeight w:hRule="exact" w:val="242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1635 </w:t>
            </w:r>
          </w:p>
        </w:tc>
        <w:tc>
          <w:tcPr>
            <w:tcW w:type="dxa" w:w="5148"/>
            <w:vMerge/>
            <w:tcBorders/>
          </w:tcPr>
          <w:p/>
        </w:tc>
        <w:tc>
          <w:tcPr>
            <w:tcW w:type="dxa" w:w="1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Zhang, C. &amp; Ma, Y.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Ensemble Machine Learning: Methods and Applications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.  (Springer, 2012). </w:t>
            </w:r>
          </w:p>
        </w:tc>
      </w:tr>
      <w:tr>
        <w:trPr>
          <w:trHeight w:hRule="exact" w:val="234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1636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8. </w:t>
            </w:r>
          </w:p>
        </w:tc>
        <w:tc>
          <w:tcPr>
            <w:tcW w:type="dxa" w:w="1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Bach, P., Chernozhukov, V., Kurz, M. S. &amp; Spindler, M. DoubleML-An Object-Oriented Implementation of Double Machine Learning in Python.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Journal of </w:t>
            </w:r>
          </w:p>
        </w:tc>
      </w:tr>
      <w:tr>
        <w:trPr>
          <w:trHeight w:hRule="exact" w:val="138"/>
        </w:trPr>
        <w:tc>
          <w:tcPr>
            <w:tcW w:type="dxa" w:w="6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1637 </w:t>
            </w:r>
          </w:p>
        </w:tc>
        <w:tc>
          <w:tcPr>
            <w:tcW w:type="dxa" w:w="5148"/>
            <w:vMerge/>
            <w:tcBorders/>
          </w:tcPr>
          <w:p/>
        </w:tc>
        <w:tc>
          <w:tcPr>
            <w:tcW w:type="dxa" w:w="1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Machine Learning Research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1-6 (2022). </w:t>
            </w:r>
          </w:p>
        </w:tc>
      </w:tr>
      <w:tr>
        <w:trPr>
          <w:trHeight w:hRule="exact" w:val="116"/>
        </w:trPr>
        <w:tc>
          <w:tcPr>
            <w:tcW w:type="dxa" w:w="5148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9. </w:t>
            </w:r>
          </w:p>
        </w:tc>
        <w:tc>
          <w:tcPr>
            <w:tcW w:type="dxa" w:w="5148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0" w:right="0" w:firstLine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20"/>
              </w:rPr>
              <w:t xml:space="preserve">1638 </w:t>
            </w:r>
          </w:p>
        </w:tc>
        <w:tc>
          <w:tcPr>
            <w:tcW w:type="dxa" w:w="5148"/>
            <w:vMerge/>
            <w:tcBorders/>
          </w:tcPr>
          <w:p/>
        </w:tc>
        <w:tc>
          <w:tcPr>
            <w:tcW w:type="dxa" w:w="1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Kursa, M. B. &amp; Rudnicki, W. R. Feature Selection with the Boruta Package.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Journal of Statistical Software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36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1 - 13 (2010). DOI:10.18637/jss.v036.i11 </w:t>
            </w:r>
          </w:p>
        </w:tc>
      </w:tr>
    </w:tbl>
    <w:p>
      <w:pPr>
        <w:autoSpaceDN w:val="0"/>
        <w:autoSpaceDE w:val="0"/>
        <w:widowControl/>
        <w:spacing w:line="180" w:lineRule="auto" w:before="22" w:after="0"/>
        <w:ind w:left="0" w:right="0" w:firstLine="0"/>
        <w:jc w:val="left"/>
      </w:pPr>
      <w:r>
        <w:rPr>
          <w:rFonts w:ascii="Malgun Gothic" w:hAnsi="Malgun Gothic" w:eastAsia="Malgun Gothic"/>
          <w:b w:val="0"/>
          <w:i w:val="0"/>
          <w:color w:val="000000"/>
          <w:sz w:val="20"/>
        </w:rPr>
        <w:t xml:space="preserve">1639 </w:t>
      </w:r>
    </w:p>
    <w:sectPr w:rsidR="00FC693F" w:rsidRPr="0006063C" w:rsidSect="00034616">
      <w:pgSz w:w="16840" w:h="11905"/>
      <w:pgMar w:top="948" w:right="1200" w:bottom="1440" w:left="1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onnectome@snu.ac.kr" TargetMode="External"/><Relationship Id="rId10" Type="http://schemas.openxmlformats.org/officeDocument/2006/relationships/hyperlink" Target="https://nda.nih.gov/abcd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surfer.nmr.mgh.harvard.edu/" TargetMode="Externa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https://www.census.gov/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