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Letter of Recommendation for Promotion to Professor</w:t>
        <w:br/>
        <w:br/>
        <w:t>**From the Desk of the Chair**</w:t>
        <w:br/>
        <w:br/>
        <w:t>**Date:** January 1, 2026</w:t>
        <w:br/>
        <w:br/>
        <w:t xml:space="preserve">**To:** The Committee on Appointments and Promotions  </w:t>
        <w:br/>
        <w:t xml:space="preserve">Columbia University Irving Medical Center  </w:t>
        <w:br/>
        <w:t xml:space="preserve">630 West 168th Street  </w:t>
        <w:br/>
        <w:t>New York, NY 10032</w:t>
        <w:br/>
        <w:br/>
        <w:t>**Re: Promotion of Dr. Xiaofu He to Professor of Clinical Neurobiology (in Psychiatry)**</w:t>
        <w:br/>
        <w:br/>
        <w:t>**Distinguished Members of the Committee,**</w:t>
        <w:br/>
        <w:br/>
        <w:t>It is with the highest degree of enthusiasm and professional conviction that I advocate for the promotion of **Dr. Xiaofu He** to the rank of Professor. Having conducted a rigorous longitudinal audit of his academic footprint—spanning from his foundational neuroimaging work to his current leadership in computational genomics—I conclude that Dr. He has transcended the role of a proficient researcher to become an architect of modern psychiatry. His trajectory represents a rare and deliberate evolution: he began by applying advanced imaging to define clinical phenotypes and has now matured into a creator of the very computational infrastructures that will define the next decade of our field. He meets and exceeds the stringent standards of international reputation and methodological innovation required for tenure at Columbia University.</w:t>
        <w:br/>
        <w:br/>
        <w:t>Dr. He’s ascent to leadership is rooted in a series of "lifetime masterpiece" studies that fundamentally reshaped our understanding of the pediatric brain. His 2016 publication in *Neuropsychopharmacology* was a watershed moment, where he utilized Tract-Based Spatial Statistics (TBSS) to map white matter microstructural deficits in Bulimia Nervosa. Unlike prior studies that focused on static volumetric changes, Dr. He identified specific fractional anisotropy reductions in frontotemporal control circuits, providing the first robust structural evidence for the "loss of self-regulation" hypothesis in eating disorders. He expanded this mechanistic approach in his 2019 *Biological Psychiatry* paper, where he linked chronic physiological stress (hair cortisol) to specific hippocampal subfield atrophy in children from disadvantaged backgrounds. These works are not merely high-impact citations; they are the intellectual bedrock upon which his current research stands, demonstrating a decade-long commitment to rigorous, hypothesis-driven inquiry that links biological markers to complex behavioral phenotypes.</w:t>
        <w:br/>
        <w:br/>
        <w:t>Building on this formidable foundation, Dr. He has recently crossed the threshold from an applier of methods to a true methodological innovator. The "Toolmaker" phase of his career is best exemplified by his 2025 invention of **"CalciumZero,"** published in *Brain Informatics*. In a field often paralyzed by the bottleneck of manual data quantification, Dr. He engineered a sophisticated, GUI-based open-source platform that automates the analysis of calcium imaging in iPSC-derived brain organoids. By democratizing access to high-throughput analysis, he has empowered laboratories worldwide to adopt organoid models, effectively acting as a force multiplier for the entire neuroscience community. This transition from publishing individual findings to building the communal infrastructure of science is the definitive hallmark of a Full Professor.</w:t>
        <w:br/>
        <w:br/>
        <w:t>Most impressively, Dr. He has achieved the "Holy Grail" of modern psychiatry: the seamless integration of micro-scale genomics with macro-scale brain circuit dynamics. His recent investigation into **SETD1A disruption** (2025) is a tour de force of multi-scale synthesis. Rather than viewing genetic risk factors in isolation, he mapped the transcriptomic signatures of this Schizophrenia risk gene directly onto functional connectivity deficits in excitatory neuron development. This work bridges the "Valley of Death" between single-cell RNA sequencing and whole-brain fMRI, offering a mechanistic explanation for how molecular perturbations cascade into system-wide network failures. Furthermore, his leadership in the **ENIGMA-PGC PTSD workgroup** (*Human Brain Mapping*, 2025), analyzing dynamic resting-state connectivity in over 1,000 subjects, demonstrates his command over "Big Data" and his ability to extract temporal signal from noise in massive, heterogeneous clinical populations.</w:t>
        <w:br/>
        <w:br/>
        <w:t>In summary, Dr. Xiaofu He is a scholar of singular depth and breadth. He has successfully navigated the arc from defining the structural correlates of psychopathology to engineering the computational tools that unravel their molecular origins. His portfolio combines the technical rigor of a data scientist with the clinical insight of a seasoned neurobiologist. To deny his promotion would be to misunderstand the direction in which our field is heading; Dr. He is already leading us there. I urge the committee to approve his promotion to Professor, ensuring that Columbia remains the home of such transformative scientific leadership.</w:t>
        <w:br/>
        <w:br/>
        <w:t>Sincerely,</w:t>
        <w:br/>
        <w:br/>
        <w:t xml:space="preserve">**[Your Name]**  </w:t>
        <w:br/>
        <w:t xml:space="preserve">**[Your Title / Chair of Department]**  </w:t>
        <w:br/>
        <w:t>**[Your Institution]**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