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DAFB3" w14:textId="77777777" w:rsidR="00F2680E" w:rsidRDefault="00000000">
      <w:pPr>
        <w:pStyle w:val="Heading1"/>
        <w:spacing w:after="200"/>
        <w:jc w:val="center"/>
      </w:pPr>
      <w:r>
        <w:t>Patent A — Core Privacy Infrastructure &amp; ZKP Framework</w:t>
      </w:r>
    </w:p>
    <w:p w14:paraId="05AA4378" w14:textId="77777777" w:rsidR="00F2680E" w:rsidRDefault="00000000">
      <w:pPr>
        <w:spacing w:after="120"/>
      </w:pPr>
      <w:r>
        <w:rPr>
          <w:b/>
          <w:bCs/>
        </w:rPr>
        <w:t>Filing Track:</w:t>
      </w:r>
      <w:r>
        <w:t xml:space="preserve"> Track One (Expedited)</w:t>
      </w:r>
      <w:r>
        <w:br/>
      </w:r>
      <w:r>
        <w:rPr>
          <w:b/>
          <w:bCs/>
        </w:rPr>
        <w:t>Goal:</w:t>
      </w:r>
      <w:r>
        <w:t xml:space="preserve"> Block incumbents from using ZKP in equity management</w:t>
      </w:r>
      <w:r>
        <w:br/>
      </w:r>
      <w:r>
        <w:rPr>
          <w:b/>
          <w:bCs/>
        </w:rPr>
        <w:t>Expected Grant Timeline:</w:t>
      </w:r>
      <w:r>
        <w:t xml:space="preserve"> ~12 months</w:t>
      </w:r>
    </w:p>
    <w:p w14:paraId="6FEAF31C" w14:textId="77777777" w:rsidR="00F2680E" w:rsidRDefault="00000000">
      <w:pPr>
        <w:spacing w:after="200"/>
      </w:pPr>
      <w:r>
        <w:t xml:space="preserve"> </w:t>
      </w:r>
    </w:p>
    <w:p w14:paraId="237D72EF" w14:textId="77777777" w:rsidR="00F2680E" w:rsidRDefault="00F2680E">
      <w:pPr>
        <w:pBdr>
          <w:bottom w:val="single" w:sz="6" w:space="1" w:color="auto"/>
        </w:pBdr>
        <w:spacing w:after="120"/>
      </w:pPr>
    </w:p>
    <w:p w14:paraId="1EAEF4BF" w14:textId="77777777" w:rsidR="00F2680E" w:rsidRDefault="00000000">
      <w:pPr>
        <w:spacing w:after="200"/>
      </w:pPr>
      <w:r>
        <w:t xml:space="preserve"> </w:t>
      </w:r>
    </w:p>
    <w:p w14:paraId="38F00686" w14:textId="77777777" w:rsidR="00F2680E" w:rsidRDefault="00000000">
      <w:pPr>
        <w:pStyle w:val="Heading2"/>
        <w:spacing w:after="200"/>
      </w:pPr>
      <w:r>
        <w:t>Claim Set</w:t>
      </w:r>
    </w:p>
    <w:p w14:paraId="6B3712ED" w14:textId="77777777" w:rsidR="00F2680E" w:rsidRDefault="00000000">
      <w:pPr>
        <w:pStyle w:val="Heading3"/>
        <w:spacing w:after="200"/>
      </w:pPr>
      <w:r>
        <w:t>Claim 1 (Independent)</w:t>
      </w:r>
    </w:p>
    <w:p w14:paraId="3ADDFC8B" w14:textId="77777777" w:rsidR="00F2680E" w:rsidRDefault="00000000">
      <w:pPr>
        <w:spacing w:after="120"/>
      </w:pPr>
      <w:r>
        <w:t>A computer-implemented system for privacy-preserving equity management comprising:</w:t>
      </w:r>
    </w:p>
    <w:p w14:paraId="712E3071" w14:textId="77777777" w:rsidR="00F2680E" w:rsidRDefault="00000000">
      <w:pPr>
        <w:pStyle w:val="ListParagraph"/>
        <w:numPr>
          <w:ilvl w:val="0"/>
          <w:numId w:val="2"/>
        </w:numPr>
        <w:spacing w:after="100"/>
      </w:pPr>
      <w:r>
        <w:t xml:space="preserve">a multi-tenant data store enforcing schema-per-tenant isolation wherein each tenant's equity records are stored in a dedicated database schema inaccessible to other </w:t>
      </w:r>
      <w:proofErr w:type="gramStart"/>
      <w:r>
        <w:t>tenants;</w:t>
      </w:r>
      <w:proofErr w:type="gramEnd"/>
    </w:p>
    <w:p w14:paraId="140557FD" w14:textId="77777777" w:rsidR="00F2680E" w:rsidRDefault="00000000">
      <w:pPr>
        <w:pStyle w:val="ListParagraph"/>
        <w:numPr>
          <w:ilvl w:val="0"/>
          <w:numId w:val="2"/>
        </w:numPr>
        <w:spacing w:after="100"/>
      </w:pPr>
      <w:r>
        <w:t xml:space="preserve">a zero-knowledge proof subsystem configured to generate cryptographic proofs attesting to properties of equity records without revealing underlying equity data, the subsystem implementing a multi-stage transformation </w:t>
      </w:r>
      <w:proofErr w:type="gramStart"/>
      <w:r>
        <w:t>pipeline;</w:t>
      </w:r>
      <w:proofErr w:type="gramEnd"/>
    </w:p>
    <w:p w14:paraId="2C0D3EFB" w14:textId="77777777" w:rsidR="00F2680E" w:rsidRDefault="00000000">
      <w:pPr>
        <w:pStyle w:val="ListParagraph"/>
        <w:numPr>
          <w:ilvl w:val="0"/>
          <w:numId w:val="2"/>
        </w:numPr>
        <w:spacing w:after="100"/>
      </w:pPr>
      <w:r>
        <w:t>a sandbox environment provisioned with synthetic equity data enabling functional evaluation of cryptographic operations prior to tenant commitment; and</w:t>
      </w:r>
    </w:p>
    <w:p w14:paraId="1335F442" w14:textId="77777777" w:rsidR="00F2680E" w:rsidRDefault="00000000">
      <w:pPr>
        <w:pStyle w:val="ListParagraph"/>
        <w:numPr>
          <w:ilvl w:val="0"/>
          <w:numId w:val="2"/>
        </w:numPr>
        <w:spacing w:after="100"/>
      </w:pPr>
      <w:proofErr w:type="gramStart"/>
      <w:r>
        <w:t>a four</w:t>
      </w:r>
      <w:proofErr w:type="gramEnd"/>
      <w:r>
        <w:t>-gate middleware pipeline interposed between client requests and equity data operations, the pipeline enforcing sequential validation through authentication, tenant resolution, subscription verification, and feature-flag evaluation gates.</w:t>
      </w:r>
    </w:p>
    <w:p w14:paraId="17E84FFC" w14:textId="77777777" w:rsidR="00F2680E" w:rsidRDefault="00000000">
      <w:pPr>
        <w:spacing w:after="200"/>
      </w:pPr>
      <w:r>
        <w:t xml:space="preserve"> </w:t>
      </w:r>
    </w:p>
    <w:p w14:paraId="46513F61" w14:textId="77777777" w:rsidR="00F2680E" w:rsidRDefault="00000000">
      <w:pPr>
        <w:pStyle w:val="Heading3"/>
        <w:spacing w:after="200"/>
      </w:pPr>
      <w:r>
        <w:t>Claim 2 (Dependent on Claim 1)</w:t>
      </w:r>
    </w:p>
    <w:p w14:paraId="35F934FF" w14:textId="77777777" w:rsidR="00F2680E" w:rsidRDefault="00000000">
      <w:pPr>
        <w:spacing w:after="120"/>
      </w:pPr>
      <w:r>
        <w:t>The system of claim 1, wherein the schema-per-tenant isolation further comprises a tenant resolution gate that maps each authenticated request to a corresponding isolated database schema, preventing cross-tenant data leakage at the query execution layer.</w:t>
      </w:r>
    </w:p>
    <w:p w14:paraId="3472DC6D" w14:textId="77777777" w:rsidR="00F2680E" w:rsidRDefault="00000000">
      <w:pPr>
        <w:spacing w:after="200"/>
      </w:pPr>
      <w:r>
        <w:t xml:space="preserve"> </w:t>
      </w:r>
    </w:p>
    <w:p w14:paraId="357F0782" w14:textId="77777777" w:rsidR="00F2680E" w:rsidRDefault="00000000">
      <w:pPr>
        <w:pStyle w:val="Heading3"/>
        <w:spacing w:after="200"/>
      </w:pPr>
      <w:r>
        <w:t>Claim 3 (Dependent on Claim 1)</w:t>
      </w:r>
    </w:p>
    <w:p w14:paraId="654FCBC2" w14:textId="77777777" w:rsidR="00F2680E" w:rsidRDefault="00000000">
      <w:pPr>
        <w:spacing w:after="120"/>
      </w:pPr>
      <w:r>
        <w:t>The system of claim 1, wherein the multi-stage transformation pipeline comprises:</w:t>
      </w:r>
    </w:p>
    <w:p w14:paraId="4148C0E5" w14:textId="77777777" w:rsidR="00F2680E" w:rsidRDefault="00000000">
      <w:pPr>
        <w:pStyle w:val="ListParagraph"/>
        <w:numPr>
          <w:ilvl w:val="0"/>
          <w:numId w:val="2"/>
        </w:numPr>
        <w:spacing w:after="100"/>
      </w:pPr>
      <w:r>
        <w:t xml:space="preserve">a first stage generating a Pedersen commitment from equity input </w:t>
      </w:r>
      <w:proofErr w:type="gramStart"/>
      <w:r>
        <w:t>values;</w:t>
      </w:r>
      <w:proofErr w:type="gramEnd"/>
    </w:p>
    <w:p w14:paraId="1F1CEEDB" w14:textId="77777777" w:rsidR="00F2680E" w:rsidRDefault="00000000">
      <w:pPr>
        <w:pStyle w:val="ListParagraph"/>
        <w:numPr>
          <w:ilvl w:val="0"/>
          <w:numId w:val="2"/>
        </w:numPr>
        <w:spacing w:after="100"/>
      </w:pPr>
      <w:r>
        <w:t>a second stage computing a BN254 elliptic-curve hash of the Pedersen commitment; and</w:t>
      </w:r>
    </w:p>
    <w:p w14:paraId="3403FCFC" w14:textId="77777777" w:rsidR="00F2680E" w:rsidRDefault="00000000">
      <w:pPr>
        <w:pStyle w:val="ListParagraph"/>
        <w:numPr>
          <w:ilvl w:val="0"/>
          <w:numId w:val="2"/>
        </w:numPr>
        <w:spacing w:after="100"/>
      </w:pPr>
      <w:r>
        <w:t xml:space="preserve">a third stage producing a </w:t>
      </w:r>
      <w:proofErr w:type="spellStart"/>
      <w:r>
        <w:t>Grumpkin</w:t>
      </w:r>
      <w:proofErr w:type="spellEnd"/>
      <w:r>
        <w:t>-curve verification artifact suitable for on-chain or off-chain verification.</w:t>
      </w:r>
    </w:p>
    <w:p w14:paraId="180D1695" w14:textId="77777777" w:rsidR="00F2680E" w:rsidRDefault="00000000">
      <w:pPr>
        <w:spacing w:after="200"/>
      </w:pPr>
      <w:r>
        <w:t xml:space="preserve"> </w:t>
      </w:r>
    </w:p>
    <w:p w14:paraId="49280D19" w14:textId="77777777" w:rsidR="00F2680E" w:rsidRDefault="00000000">
      <w:pPr>
        <w:pStyle w:val="Heading3"/>
        <w:spacing w:after="200"/>
      </w:pPr>
      <w:r>
        <w:t>Claim 4 (Dependent on Claim 1)</w:t>
      </w:r>
    </w:p>
    <w:p w14:paraId="208B500D" w14:textId="77777777" w:rsidR="00F2680E" w:rsidRDefault="00000000">
      <w:pPr>
        <w:spacing w:after="120"/>
      </w:pPr>
      <w:r>
        <w:lastRenderedPageBreak/>
        <w:t>The system of claim 1, wherein the zero-knowledge proof subsystem performs server-side proof generation such that private equity data never leaves the server boundary, and only the resulting proof artifact is transmitted to a requesting client.</w:t>
      </w:r>
    </w:p>
    <w:p w14:paraId="1B8ABFA4" w14:textId="77777777" w:rsidR="00F2680E" w:rsidRDefault="00000000">
      <w:pPr>
        <w:spacing w:after="200"/>
      </w:pPr>
      <w:r>
        <w:t xml:space="preserve"> </w:t>
      </w:r>
    </w:p>
    <w:p w14:paraId="34E6C3E8" w14:textId="77777777" w:rsidR="00F2680E" w:rsidRDefault="00000000">
      <w:pPr>
        <w:pStyle w:val="Heading3"/>
        <w:spacing w:after="200"/>
      </w:pPr>
      <w:r>
        <w:t>Claim 5 (Dependent on Claim 1)</w:t>
      </w:r>
    </w:p>
    <w:p w14:paraId="13F66025" w14:textId="77777777" w:rsidR="00F2680E" w:rsidRDefault="00000000">
      <w:pPr>
        <w:spacing w:after="120"/>
      </w:pPr>
      <w:r>
        <w:t>The system of claim 1, further comprising dual verification paths including:</w:t>
      </w:r>
    </w:p>
    <w:p w14:paraId="6DD31C24" w14:textId="77777777" w:rsidR="00F2680E" w:rsidRDefault="00000000">
      <w:pPr>
        <w:pStyle w:val="ListParagraph"/>
        <w:numPr>
          <w:ilvl w:val="0"/>
          <w:numId w:val="2"/>
        </w:numPr>
        <w:spacing w:after="100"/>
      </w:pPr>
      <w:r>
        <w:t>an internal verification path accessible to authenticated tenant users for validating proofs against tenant-specific equity records; and</w:t>
      </w:r>
    </w:p>
    <w:p w14:paraId="56EB93D4" w14:textId="77777777" w:rsidR="00F2680E" w:rsidRDefault="00000000">
      <w:pPr>
        <w:pStyle w:val="ListParagraph"/>
        <w:numPr>
          <w:ilvl w:val="0"/>
          <w:numId w:val="2"/>
        </w:numPr>
        <w:spacing w:after="100"/>
      </w:pPr>
      <w:r>
        <w:t>a public verification path accessible without authentication for validating proof artifacts using only the proof identifier and public verification parameters.</w:t>
      </w:r>
    </w:p>
    <w:p w14:paraId="26930482" w14:textId="77777777" w:rsidR="00F2680E" w:rsidRDefault="00000000">
      <w:pPr>
        <w:spacing w:after="200"/>
      </w:pPr>
      <w:r>
        <w:t xml:space="preserve"> </w:t>
      </w:r>
    </w:p>
    <w:p w14:paraId="7120B68E" w14:textId="77777777" w:rsidR="00F2680E" w:rsidRDefault="00000000">
      <w:pPr>
        <w:pStyle w:val="Heading3"/>
        <w:spacing w:after="200"/>
      </w:pPr>
      <w:r>
        <w:t>Claim 6 (Dependent on Claim 1)</w:t>
      </w:r>
    </w:p>
    <w:p w14:paraId="0F0862CB" w14:textId="77777777" w:rsidR="00F2680E" w:rsidRDefault="00000000">
      <w:pPr>
        <w:spacing w:after="120"/>
      </w:pPr>
      <w:r>
        <w:t>The system of claim 1, wherein the zero-knowledge proof subsystem implements at least:</w:t>
      </w:r>
    </w:p>
    <w:p w14:paraId="4FC2CD4D" w14:textId="77777777" w:rsidR="00F2680E" w:rsidRDefault="00000000">
      <w:pPr>
        <w:pStyle w:val="ListParagraph"/>
        <w:numPr>
          <w:ilvl w:val="0"/>
          <w:numId w:val="2"/>
        </w:numPr>
        <w:spacing w:after="100"/>
      </w:pPr>
      <w:r>
        <w:t xml:space="preserve">a </w:t>
      </w:r>
      <w:proofErr w:type="spellStart"/>
      <w:r>
        <w:t>test_hash</w:t>
      </w:r>
      <w:proofErr w:type="spellEnd"/>
      <w:r>
        <w:t xml:space="preserve"> circuit configured to verify that a committed value matches a hash without revealing the value; and</w:t>
      </w:r>
    </w:p>
    <w:p w14:paraId="7F4AEEB7" w14:textId="77777777" w:rsidR="00F2680E" w:rsidRDefault="00000000">
      <w:pPr>
        <w:pStyle w:val="ListParagraph"/>
        <w:numPr>
          <w:ilvl w:val="0"/>
          <w:numId w:val="2"/>
        </w:numPr>
        <w:spacing w:after="100"/>
      </w:pPr>
      <w:proofErr w:type="gramStart"/>
      <w:r>
        <w:t>an</w:t>
      </w:r>
      <w:proofErr w:type="gramEnd"/>
      <w:r>
        <w:t xml:space="preserve"> </w:t>
      </w:r>
      <w:proofErr w:type="spellStart"/>
      <w:r>
        <w:t>ownership_threshold</w:t>
      </w:r>
      <w:proofErr w:type="spellEnd"/>
      <w:r>
        <w:t xml:space="preserve"> circuit configured to prove that an ownership percentage exceeds a specified threshold without revealing the actual percentage.</w:t>
      </w:r>
    </w:p>
    <w:p w14:paraId="78B4EA53" w14:textId="77777777" w:rsidR="00F2680E" w:rsidRDefault="00000000">
      <w:pPr>
        <w:spacing w:after="200"/>
      </w:pPr>
      <w:r>
        <w:t xml:space="preserve"> </w:t>
      </w:r>
    </w:p>
    <w:p w14:paraId="4F8E5821" w14:textId="77777777" w:rsidR="00F2680E" w:rsidRDefault="00000000">
      <w:pPr>
        <w:pStyle w:val="Heading3"/>
        <w:spacing w:after="200"/>
      </w:pPr>
      <w:r>
        <w:t>Claim 7 (Dependent on Claim 1)</w:t>
      </w:r>
    </w:p>
    <w:p w14:paraId="22D7CC12" w14:textId="77777777" w:rsidR="00F2680E" w:rsidRDefault="00000000">
      <w:pPr>
        <w:spacing w:after="120"/>
      </w:pPr>
      <w:r>
        <w:t>The system of claim 1, wherein the sandbox environment is provisioned with seeded mock data comprising synthetic stakeholder records, equity instruments, and share classes, enabling a prospective tenant to execute cryptographic proof operations against realistic but non-production data.</w:t>
      </w:r>
    </w:p>
    <w:p w14:paraId="4BBC9F76" w14:textId="77777777" w:rsidR="00F2680E" w:rsidRDefault="00000000">
      <w:pPr>
        <w:spacing w:after="200"/>
      </w:pPr>
      <w:r>
        <w:t xml:space="preserve"> </w:t>
      </w:r>
    </w:p>
    <w:p w14:paraId="1E3E524D" w14:textId="77777777" w:rsidR="00F2680E" w:rsidRDefault="00000000">
      <w:pPr>
        <w:pStyle w:val="Heading3"/>
        <w:spacing w:after="200"/>
      </w:pPr>
      <w:r>
        <w:t>Claim 8 (Dependent on Claim 7)</w:t>
      </w:r>
    </w:p>
    <w:p w14:paraId="57E8250B" w14:textId="77777777" w:rsidR="00F2680E" w:rsidRDefault="00000000">
      <w:pPr>
        <w:spacing w:after="120"/>
      </w:pPr>
      <w:r>
        <w:t>The system of claim 7, wherein the sandbox environment further comprises an atomic usage tracking mechanism that meters each cryptographic operation performed within the sandbox against a per-tenant allocation, the allocation being enforced independently of production billing cycles.</w:t>
      </w:r>
    </w:p>
    <w:p w14:paraId="7FE2055D" w14:textId="77777777" w:rsidR="00F2680E" w:rsidRDefault="00000000">
      <w:pPr>
        <w:spacing w:after="200"/>
      </w:pPr>
      <w:r>
        <w:t xml:space="preserve"> </w:t>
      </w:r>
    </w:p>
    <w:p w14:paraId="1CF4AFFB" w14:textId="77777777" w:rsidR="00F2680E" w:rsidRDefault="00000000">
      <w:pPr>
        <w:pStyle w:val="Heading3"/>
        <w:spacing w:after="200"/>
      </w:pPr>
      <w:r>
        <w:t>Claim 9 (Dependent on Claim 1)</w:t>
      </w:r>
    </w:p>
    <w:p w14:paraId="720FF8F0" w14:textId="77777777" w:rsidR="00F2680E" w:rsidRDefault="00000000">
      <w:pPr>
        <w:spacing w:after="120"/>
      </w:pPr>
      <w:r>
        <w:t>The system of claim 1, wherein the four-gate middleware pipeline comprises:</w:t>
      </w:r>
    </w:p>
    <w:p w14:paraId="69CDF756" w14:textId="77777777" w:rsidR="00F2680E" w:rsidRDefault="00000000">
      <w:pPr>
        <w:pStyle w:val="ListParagraph"/>
        <w:numPr>
          <w:ilvl w:val="0"/>
          <w:numId w:val="2"/>
        </w:numPr>
        <w:spacing w:after="100"/>
      </w:pPr>
      <w:r>
        <w:t xml:space="preserve">a first gate performing session-based authentication and session </w:t>
      </w:r>
      <w:proofErr w:type="gramStart"/>
      <w:r>
        <w:t>validation;</w:t>
      </w:r>
      <w:proofErr w:type="gramEnd"/>
    </w:p>
    <w:p w14:paraId="1D968AAA" w14:textId="77777777" w:rsidR="00F2680E" w:rsidRDefault="00000000">
      <w:pPr>
        <w:pStyle w:val="ListParagraph"/>
        <w:numPr>
          <w:ilvl w:val="0"/>
          <w:numId w:val="2"/>
        </w:numPr>
        <w:spacing w:after="100"/>
      </w:pPr>
      <w:r>
        <w:t xml:space="preserve">a second gate resolving the authenticated user to a specific tenant </w:t>
      </w:r>
      <w:proofErr w:type="gramStart"/>
      <w:r>
        <w:t>schema;</w:t>
      </w:r>
      <w:proofErr w:type="gramEnd"/>
    </w:p>
    <w:p w14:paraId="33526F3B" w14:textId="77777777" w:rsidR="00F2680E" w:rsidRDefault="00000000">
      <w:pPr>
        <w:pStyle w:val="ListParagraph"/>
        <w:numPr>
          <w:ilvl w:val="0"/>
          <w:numId w:val="2"/>
        </w:numPr>
        <w:spacing w:after="100"/>
      </w:pPr>
      <w:r>
        <w:t>a third gate verifying the tenant's active subscription status and proof allocation limits; and</w:t>
      </w:r>
    </w:p>
    <w:p w14:paraId="7C81EB3E" w14:textId="77777777" w:rsidR="00F2680E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a fourth gate evaluating compile-time and runtime feature flags to determine operation availability.</w:t>
      </w:r>
    </w:p>
    <w:p w14:paraId="1F2AAE4C" w14:textId="77777777" w:rsidR="00F2680E" w:rsidRDefault="00000000">
      <w:pPr>
        <w:spacing w:after="200"/>
      </w:pPr>
      <w:r>
        <w:t xml:space="preserve"> </w:t>
      </w:r>
    </w:p>
    <w:p w14:paraId="436D6E5A" w14:textId="77777777" w:rsidR="00F2680E" w:rsidRDefault="00000000">
      <w:pPr>
        <w:pStyle w:val="Heading3"/>
        <w:spacing w:after="200"/>
      </w:pPr>
      <w:r>
        <w:t>Claim 10 (Dependent on Claim 1)</w:t>
      </w:r>
    </w:p>
    <w:p w14:paraId="582F5D3E" w14:textId="77777777" w:rsidR="00F2680E" w:rsidRDefault="00000000">
      <w:pPr>
        <w:spacing w:after="120"/>
      </w:pPr>
      <w:r>
        <w:t xml:space="preserve">The system of claim 1, further comprising a compile-time </w:t>
      </w:r>
      <w:proofErr w:type="spellStart"/>
      <w:r>
        <w:t>boolean</w:t>
      </w:r>
      <w:proofErr w:type="spellEnd"/>
      <w:r>
        <w:t xml:space="preserve"> configuration toggle that enables or disables the zero-knowledge proof subsystem across the entire platform, wherein disabling the toggle renders all proof-related API endpoints inoperative without requiring code changes to individual route handlers.</w:t>
      </w:r>
    </w:p>
    <w:p w14:paraId="2C18F89A" w14:textId="77777777" w:rsidR="00F2680E" w:rsidRDefault="00000000">
      <w:pPr>
        <w:spacing w:after="200"/>
      </w:pPr>
      <w:r>
        <w:t xml:space="preserve"> </w:t>
      </w:r>
    </w:p>
    <w:p w14:paraId="5506070F" w14:textId="77777777" w:rsidR="00F2680E" w:rsidRDefault="00000000">
      <w:pPr>
        <w:pStyle w:val="Heading3"/>
        <w:spacing w:after="200"/>
      </w:pPr>
      <w:r>
        <w:t>Claim 11 (Dependent on Claim 1)</w:t>
      </w:r>
    </w:p>
    <w:p w14:paraId="63499F7E" w14:textId="77777777" w:rsidR="00F2680E" w:rsidRDefault="00000000">
      <w:pPr>
        <w:spacing w:after="120"/>
      </w:pPr>
      <w:r>
        <w:t>The system of claim 1, further comprising an encrypted view layer implementing HMAC-SHA-256 signatures over displayed equity values, wherein the system maintains both a raw equity value and a privacy-preserving display value for each record, the display value being selectable based on tenant privacy configuration.</w:t>
      </w:r>
    </w:p>
    <w:p w14:paraId="1A7884D6" w14:textId="77777777" w:rsidR="00F2680E" w:rsidRDefault="00000000">
      <w:pPr>
        <w:spacing w:after="200"/>
      </w:pPr>
      <w:r>
        <w:t xml:space="preserve"> </w:t>
      </w:r>
    </w:p>
    <w:p w14:paraId="1C8CB3FA" w14:textId="77777777" w:rsidR="00F2680E" w:rsidRDefault="00000000">
      <w:pPr>
        <w:pStyle w:val="Heading3"/>
        <w:spacing w:after="200"/>
      </w:pPr>
      <w:r>
        <w:t>Claim 12 (Dependent on Claim 11)</w:t>
      </w:r>
    </w:p>
    <w:p w14:paraId="5CE13411" w14:textId="77777777" w:rsidR="00F2680E" w:rsidRDefault="00000000">
      <w:pPr>
        <w:spacing w:after="120"/>
      </w:pPr>
      <w:r>
        <w:t>The system of claim 11, wherein the encrypted view layer implements a display priority chain that selects among: a fully encrypted representation, a partially masked representation, and a raw value representation, the selection being determined by the intersection of tenant-level privacy settings and the requesting user's role-based permissions.</w:t>
      </w:r>
    </w:p>
    <w:p w14:paraId="46975D7F" w14:textId="77777777" w:rsidR="00F2680E" w:rsidRDefault="00000000">
      <w:pPr>
        <w:spacing w:after="200"/>
      </w:pPr>
      <w:r>
        <w:t xml:space="preserve"> </w:t>
      </w:r>
    </w:p>
    <w:p w14:paraId="37EAAB80" w14:textId="77777777" w:rsidR="00F2680E" w:rsidRDefault="00000000">
      <w:pPr>
        <w:pStyle w:val="Heading3"/>
        <w:spacing w:after="200"/>
      </w:pPr>
      <w:r>
        <w:t>Claim 13 (Dependent on Claim 1)</w:t>
      </w:r>
    </w:p>
    <w:p w14:paraId="40C22996" w14:textId="77777777" w:rsidR="00F2680E" w:rsidRDefault="00000000">
      <w:pPr>
        <w:spacing w:after="120"/>
      </w:pPr>
      <w:r>
        <w:t>The system of claim 1, further comprising a testing and validation infrastructure that maintains a mapping between each security property of the system and at least one automated test, the mapping being persisted as a machine-readable artifact enabling continuous verification of security invariants.</w:t>
      </w:r>
    </w:p>
    <w:p w14:paraId="73C24265" w14:textId="77777777" w:rsidR="00F2680E" w:rsidRDefault="00000000">
      <w:pPr>
        <w:spacing w:after="200"/>
      </w:pPr>
      <w:r>
        <w:t xml:space="preserve"> </w:t>
      </w:r>
    </w:p>
    <w:p w14:paraId="7E7A13E6" w14:textId="77777777" w:rsidR="00F2680E" w:rsidRDefault="00000000">
      <w:pPr>
        <w:pStyle w:val="Heading3"/>
        <w:spacing w:after="200"/>
      </w:pPr>
      <w:r>
        <w:t>Claim 14 (Dependent on Claim 13)</w:t>
      </w:r>
    </w:p>
    <w:p w14:paraId="2C5A5E75" w14:textId="77777777" w:rsidR="00F2680E" w:rsidRDefault="00000000">
      <w:pPr>
        <w:spacing w:after="120"/>
      </w:pPr>
      <w:r>
        <w:t>The system of claim 13, wherein the testing and validation infrastructure implements a security property mapping that associates each middleware gate, each cryptographic operation, and each tenant isolation boundary with a corresponding set of test assertions, the mapping being enforced at build time.</w:t>
      </w:r>
    </w:p>
    <w:p w14:paraId="21E68ABE" w14:textId="77777777" w:rsidR="00F2680E" w:rsidRDefault="00000000">
      <w:pPr>
        <w:spacing w:after="200"/>
      </w:pPr>
      <w:r>
        <w:t xml:space="preserve"> </w:t>
      </w:r>
    </w:p>
    <w:p w14:paraId="24656581" w14:textId="77777777" w:rsidR="00F2680E" w:rsidRDefault="00000000">
      <w:pPr>
        <w:pStyle w:val="Heading3"/>
        <w:spacing w:after="200"/>
      </w:pPr>
      <w:r>
        <w:t>Claim 15 (Dependent on Claim 1)</w:t>
      </w:r>
    </w:p>
    <w:p w14:paraId="60F3CE78" w14:textId="77777777" w:rsidR="00F2680E" w:rsidRDefault="00000000">
      <w:pPr>
        <w:spacing w:after="120"/>
      </w:pPr>
      <w:r>
        <w:t xml:space="preserve">The system of claim 1, further </w:t>
      </w:r>
      <w:proofErr w:type="gramStart"/>
      <w:r>
        <w:t>comprising</w:t>
      </w:r>
      <w:proofErr w:type="gramEnd"/>
      <w:r>
        <w:t xml:space="preserve"> a multi-layered component architecture wherein:</w:t>
      </w:r>
    </w:p>
    <w:p w14:paraId="0444ABD0" w14:textId="77777777" w:rsidR="00F2680E" w:rsidRDefault="00000000">
      <w:pPr>
        <w:pStyle w:val="ListParagraph"/>
        <w:numPr>
          <w:ilvl w:val="0"/>
          <w:numId w:val="2"/>
        </w:numPr>
        <w:spacing w:after="100"/>
      </w:pPr>
      <w:r>
        <w:t xml:space="preserve">a presentation layer renders equity data according to tenant privacy </w:t>
      </w:r>
      <w:proofErr w:type="gramStart"/>
      <w:r>
        <w:t>settings;</w:t>
      </w:r>
      <w:proofErr w:type="gramEnd"/>
    </w:p>
    <w:p w14:paraId="597FF259" w14:textId="77777777" w:rsidR="00F2680E" w:rsidRDefault="00000000">
      <w:pPr>
        <w:pStyle w:val="ListParagraph"/>
        <w:numPr>
          <w:ilvl w:val="0"/>
          <w:numId w:val="2"/>
        </w:numPr>
        <w:spacing w:after="100"/>
      </w:pPr>
      <w:proofErr w:type="gramStart"/>
      <w:r>
        <w:lastRenderedPageBreak/>
        <w:t>a logic</w:t>
      </w:r>
      <w:proofErr w:type="gramEnd"/>
      <w:r>
        <w:t xml:space="preserve"> layer enforces business rules including vesting computations and ownership calculations; and</w:t>
      </w:r>
    </w:p>
    <w:p w14:paraId="1C812B7B" w14:textId="77777777" w:rsidR="00F2680E" w:rsidRDefault="00000000">
      <w:pPr>
        <w:pStyle w:val="ListParagraph"/>
        <w:numPr>
          <w:ilvl w:val="0"/>
          <w:numId w:val="2"/>
        </w:numPr>
        <w:spacing w:after="100"/>
      </w:pPr>
      <w:proofErr w:type="gramStart"/>
      <w:r>
        <w:t>a data</w:t>
      </w:r>
      <w:proofErr w:type="gramEnd"/>
      <w:r>
        <w:t xml:space="preserve"> access layer routes all queries through the tenant-resolved schema, the three layers being independently testable and deployable.</w:t>
      </w:r>
    </w:p>
    <w:p w14:paraId="226DDDC9" w14:textId="77777777" w:rsidR="00F2680E" w:rsidRDefault="00000000">
      <w:pPr>
        <w:spacing w:after="200"/>
      </w:pPr>
      <w:r>
        <w:t xml:space="preserve"> </w:t>
      </w:r>
    </w:p>
    <w:p w14:paraId="6BE22229" w14:textId="77777777" w:rsidR="00F2680E" w:rsidRDefault="00000000">
      <w:pPr>
        <w:pStyle w:val="Heading3"/>
        <w:spacing w:after="200"/>
      </w:pPr>
      <w:r>
        <w:t>Claim 16 (Dependent on Claim 1)</w:t>
      </w:r>
    </w:p>
    <w:p w14:paraId="5D457D4C" w14:textId="77777777" w:rsidR="00F2680E" w:rsidRDefault="00000000">
      <w:pPr>
        <w:spacing w:after="120"/>
      </w:pPr>
      <w:r>
        <w:t xml:space="preserve">The system of claim 1, further </w:t>
      </w:r>
      <w:proofErr w:type="gramStart"/>
      <w:r>
        <w:t>comprising</w:t>
      </w:r>
      <w:proofErr w:type="gramEnd"/>
      <w:r>
        <w:t xml:space="preserve"> a version lock documentation system that records, for each deployed version of the system, </w:t>
      </w:r>
      <w:proofErr w:type="gramStart"/>
      <w:r>
        <w:t>the specific</w:t>
      </w:r>
      <w:proofErr w:type="gramEnd"/>
      <w:r>
        <w:t xml:space="preserve"> versions of cryptographic libraries, circuit definitions, and middleware configurations in use, enabling reproducible proof verification across software updates.</w:t>
      </w:r>
    </w:p>
    <w:p w14:paraId="4DE4B6EF" w14:textId="77777777" w:rsidR="00F2680E" w:rsidRDefault="00000000">
      <w:pPr>
        <w:spacing w:after="200"/>
      </w:pPr>
      <w:r>
        <w:t xml:space="preserve"> </w:t>
      </w:r>
    </w:p>
    <w:p w14:paraId="5A4ABEFF" w14:textId="77777777" w:rsidR="00F2680E" w:rsidRDefault="00F2680E">
      <w:pPr>
        <w:pBdr>
          <w:bottom w:val="single" w:sz="6" w:space="1" w:color="auto"/>
        </w:pBdr>
        <w:spacing w:after="120"/>
      </w:pPr>
    </w:p>
    <w:p w14:paraId="008E241E" w14:textId="77777777" w:rsidR="00F2680E" w:rsidRDefault="00000000">
      <w:pPr>
        <w:spacing w:after="200"/>
      </w:pPr>
      <w:r>
        <w:t xml:space="preserve"> </w:t>
      </w:r>
    </w:p>
    <w:p w14:paraId="680C4074" w14:textId="77777777" w:rsidR="00F2680E" w:rsidRDefault="00000000">
      <w:pPr>
        <w:pStyle w:val="Heading2"/>
        <w:spacing w:after="200"/>
      </w:pPr>
      <w:r>
        <w:t>Summary</w:t>
      </w:r>
    </w:p>
    <w:p w14:paraId="39118CC4" w14:textId="77777777" w:rsidR="00F2680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5546"/>
        <w:gridCol w:w="3470"/>
      </w:tblGrid>
      <w:tr w:rsidR="00F2680E" w14:paraId="5B1D3658" w14:textId="77777777">
        <w:trPr>
          <w:tblHeader/>
        </w:trPr>
        <w:tc>
          <w:tcPr>
            <w:tcW w:w="5760" w:type="dxa"/>
          </w:tcPr>
          <w:p w14:paraId="71520C59" w14:textId="77777777" w:rsidR="00F2680E" w:rsidRDefault="00F2680E"/>
        </w:tc>
        <w:tc>
          <w:tcPr>
            <w:tcW w:w="3600" w:type="dxa"/>
          </w:tcPr>
          <w:p w14:paraId="73B0A7AB" w14:textId="77777777" w:rsidR="00F2680E" w:rsidRDefault="00000000">
            <w:r>
              <w:rPr>
                <w:b/>
                <w:bCs/>
              </w:rPr>
              <w:t>Count</w:t>
            </w:r>
          </w:p>
        </w:tc>
      </w:tr>
      <w:tr w:rsidR="00F2680E" w14:paraId="4CD03D56" w14:textId="77777777">
        <w:tc>
          <w:tcPr>
            <w:tcW w:w="5760" w:type="dxa"/>
          </w:tcPr>
          <w:p w14:paraId="0ABAA51D" w14:textId="77777777" w:rsidR="00F2680E" w:rsidRDefault="00000000">
            <w:r>
              <w:rPr>
                <w:b/>
                <w:bCs/>
              </w:rPr>
              <w:t>Independent</w:t>
            </w:r>
          </w:p>
        </w:tc>
        <w:tc>
          <w:tcPr>
            <w:tcW w:w="3600" w:type="dxa"/>
          </w:tcPr>
          <w:p w14:paraId="355D0687" w14:textId="77777777" w:rsidR="00F2680E" w:rsidRDefault="00000000">
            <w:r>
              <w:rPr>
                <w:b/>
                <w:bCs/>
              </w:rPr>
              <w:t>1</w:t>
            </w:r>
          </w:p>
        </w:tc>
      </w:tr>
      <w:tr w:rsidR="00F2680E" w14:paraId="4EB5EB15" w14:textId="77777777">
        <w:tc>
          <w:tcPr>
            <w:tcW w:w="5760" w:type="dxa"/>
          </w:tcPr>
          <w:p w14:paraId="6BCDF357" w14:textId="77777777" w:rsidR="00F2680E" w:rsidRDefault="00000000">
            <w:r>
              <w:rPr>
                <w:b/>
                <w:bCs/>
              </w:rPr>
              <w:t>Dependent</w:t>
            </w:r>
          </w:p>
        </w:tc>
        <w:tc>
          <w:tcPr>
            <w:tcW w:w="3600" w:type="dxa"/>
          </w:tcPr>
          <w:p w14:paraId="56FD4E69" w14:textId="77777777" w:rsidR="00F2680E" w:rsidRDefault="00000000">
            <w:r>
              <w:rPr>
                <w:b/>
                <w:bCs/>
              </w:rPr>
              <w:t>15</w:t>
            </w:r>
          </w:p>
        </w:tc>
      </w:tr>
      <w:tr w:rsidR="00F2680E" w14:paraId="2937F517" w14:textId="77777777">
        <w:tc>
          <w:tcPr>
            <w:tcW w:w="5760" w:type="dxa"/>
          </w:tcPr>
          <w:p w14:paraId="340875C6" w14:textId="77777777" w:rsidR="00F2680E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3600" w:type="dxa"/>
          </w:tcPr>
          <w:p w14:paraId="439AEB0C" w14:textId="77777777" w:rsidR="00F2680E" w:rsidRDefault="00000000">
            <w:r>
              <w:rPr>
                <w:b/>
                <w:bCs/>
              </w:rPr>
              <w:t>16</w:t>
            </w:r>
          </w:p>
        </w:tc>
      </w:tr>
    </w:tbl>
    <w:p w14:paraId="62C24301" w14:textId="77777777" w:rsidR="00F2680E" w:rsidRDefault="00000000">
      <w:pPr>
        <w:spacing w:before="240"/>
      </w:pPr>
      <w:r>
        <w:t xml:space="preserve"> </w:t>
      </w:r>
    </w:p>
    <w:p w14:paraId="51915A6C" w14:textId="77777777" w:rsidR="00F2680E" w:rsidRDefault="00000000">
      <w:pPr>
        <w:pStyle w:val="Heading2"/>
        <w:spacing w:after="200"/>
      </w:pPr>
      <w:r>
        <w:t>Reference Numerals (from Figures)</w:t>
      </w:r>
    </w:p>
    <w:p w14:paraId="5046D200" w14:textId="77777777" w:rsidR="00F2680E" w:rsidRDefault="00000000">
      <w:pPr>
        <w:pStyle w:val="ListParagraph"/>
        <w:numPr>
          <w:ilvl w:val="0"/>
          <w:numId w:val="2"/>
        </w:numPr>
        <w:spacing w:after="100"/>
      </w:pPr>
      <w:r>
        <w:t>FIG. 1: (10–42) — System architecture</w:t>
      </w:r>
    </w:p>
    <w:p w14:paraId="47F33200" w14:textId="77777777" w:rsidR="00F2680E" w:rsidRDefault="00000000">
      <w:pPr>
        <w:pStyle w:val="ListParagraph"/>
        <w:numPr>
          <w:ilvl w:val="0"/>
          <w:numId w:val="2"/>
        </w:numPr>
        <w:spacing w:after="100"/>
      </w:pPr>
      <w:r>
        <w:t>FIG. 2: (50–56) — ZKP pipeline</w:t>
      </w:r>
    </w:p>
    <w:p w14:paraId="57D20855" w14:textId="77777777" w:rsidR="00F2680E" w:rsidRDefault="00000000">
      <w:pPr>
        <w:pStyle w:val="ListParagraph"/>
        <w:numPr>
          <w:ilvl w:val="0"/>
          <w:numId w:val="2"/>
        </w:numPr>
        <w:spacing w:after="100"/>
      </w:pPr>
      <w:r>
        <w:t>FIG. 3: (102–112) — Schema isolation</w:t>
      </w:r>
    </w:p>
    <w:p w14:paraId="2F969905" w14:textId="77777777" w:rsidR="00F2680E" w:rsidRDefault="00000000">
      <w:pPr>
        <w:pStyle w:val="ListParagraph"/>
        <w:numPr>
          <w:ilvl w:val="0"/>
          <w:numId w:val="2"/>
        </w:numPr>
        <w:spacing w:after="100"/>
      </w:pPr>
      <w:r>
        <w:t>FIG. 4: (60–70, incl. 65) — Atomic usage metering</w:t>
      </w:r>
    </w:p>
    <w:p w14:paraId="3F791D1F" w14:textId="77777777" w:rsidR="00F2680E" w:rsidRDefault="00000000">
      <w:pPr>
        <w:pStyle w:val="ListParagraph"/>
        <w:numPr>
          <w:ilvl w:val="0"/>
          <w:numId w:val="2"/>
        </w:numPr>
        <w:spacing w:after="100"/>
      </w:pPr>
      <w:r>
        <w:t>FIG. 5: (80–88) — Sandbox provisioning</w:t>
      </w:r>
    </w:p>
    <w:p w14:paraId="245F12F8" w14:textId="77777777" w:rsidR="00F2680E" w:rsidRDefault="00000000">
      <w:pPr>
        <w:pStyle w:val="ListParagraph"/>
        <w:numPr>
          <w:ilvl w:val="0"/>
          <w:numId w:val="2"/>
        </w:numPr>
        <w:spacing w:after="100"/>
      </w:pPr>
      <w:r>
        <w:t>FIG. 8: (400–406) — Four-gate middleware</w:t>
      </w:r>
    </w:p>
    <w:p w14:paraId="6E676C5D" w14:textId="77777777" w:rsidR="00F2680E" w:rsidRDefault="00000000">
      <w:pPr>
        <w:spacing w:after="200"/>
      </w:pPr>
      <w:r>
        <w:t xml:space="preserve"> </w:t>
      </w:r>
    </w:p>
    <w:p w14:paraId="10B51570" w14:textId="77777777" w:rsidR="00F2680E" w:rsidRDefault="00000000">
      <w:pPr>
        <w:pStyle w:val="Heading2"/>
        <w:spacing w:after="200"/>
      </w:pPr>
      <w:r>
        <w:t>Status</w:t>
      </w:r>
    </w:p>
    <w:p w14:paraId="0E0421AA" w14:textId="77777777" w:rsidR="00F2680E" w:rsidRDefault="00000000">
      <w:pPr>
        <w:spacing w:after="120"/>
      </w:pPr>
      <w:r>
        <w:t xml:space="preserve">Ready to file. No changes </w:t>
      </w:r>
      <w:proofErr w:type="gramStart"/>
      <w:r>
        <w:t>needed</w:t>
      </w:r>
      <w:proofErr w:type="gramEnd"/>
      <w:r>
        <w:t>.</w:t>
      </w:r>
    </w:p>
    <w:sectPr w:rsidR="00F2680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E6BFB"/>
    <w:multiLevelType w:val="hybridMultilevel"/>
    <w:tmpl w:val="A9CEF8C8"/>
    <w:lvl w:ilvl="0" w:tplc="DE0271BC">
      <w:start w:val="1"/>
      <w:numFmt w:val="bullet"/>
      <w:suff w:val="space"/>
      <w:lvlText w:val="●"/>
      <w:lvlJc w:val="left"/>
      <w:pPr>
        <w:ind w:left="240" w:hanging="180"/>
      </w:pPr>
    </w:lvl>
    <w:lvl w:ilvl="1" w:tplc="D5585392">
      <w:start w:val="1"/>
      <w:numFmt w:val="bullet"/>
      <w:suff w:val="space"/>
      <w:lvlText w:val="○"/>
      <w:lvlJc w:val="left"/>
      <w:pPr>
        <w:ind w:left="660" w:hanging="180"/>
      </w:pPr>
    </w:lvl>
    <w:lvl w:ilvl="2" w:tplc="8632C74E">
      <w:start w:val="1"/>
      <w:numFmt w:val="bullet"/>
      <w:suff w:val="space"/>
      <w:lvlText w:val="■"/>
      <w:lvlJc w:val="left"/>
      <w:pPr>
        <w:ind w:left="1080" w:hanging="180"/>
      </w:pPr>
    </w:lvl>
    <w:lvl w:ilvl="3" w:tplc="902EE26A">
      <w:start w:val="1"/>
      <w:numFmt w:val="bullet"/>
      <w:suff w:val="space"/>
      <w:lvlText w:val="●"/>
      <w:lvlJc w:val="left"/>
      <w:pPr>
        <w:ind w:left="1500" w:hanging="180"/>
      </w:pPr>
    </w:lvl>
    <w:lvl w:ilvl="4" w:tplc="9494896C">
      <w:start w:val="1"/>
      <w:numFmt w:val="bullet"/>
      <w:suff w:val="space"/>
      <w:lvlText w:val="○"/>
      <w:lvlJc w:val="left"/>
      <w:pPr>
        <w:ind w:left="1920" w:hanging="180"/>
      </w:pPr>
    </w:lvl>
    <w:lvl w:ilvl="5" w:tplc="5F10528E">
      <w:start w:val="1"/>
      <w:numFmt w:val="bullet"/>
      <w:suff w:val="space"/>
      <w:lvlText w:val="■"/>
      <w:lvlJc w:val="left"/>
      <w:pPr>
        <w:ind w:left="2340" w:hanging="180"/>
      </w:pPr>
    </w:lvl>
    <w:lvl w:ilvl="6" w:tplc="9AD20CD6">
      <w:start w:val="1"/>
      <w:numFmt w:val="bullet"/>
      <w:suff w:val="space"/>
      <w:lvlText w:val="●"/>
      <w:lvlJc w:val="left"/>
      <w:pPr>
        <w:ind w:left="2760" w:hanging="180"/>
      </w:pPr>
    </w:lvl>
    <w:lvl w:ilvl="7" w:tplc="EF2E6AA2">
      <w:start w:val="1"/>
      <w:numFmt w:val="bullet"/>
      <w:suff w:val="space"/>
      <w:lvlText w:val="○"/>
      <w:lvlJc w:val="left"/>
      <w:pPr>
        <w:ind w:left="3180" w:hanging="180"/>
      </w:pPr>
    </w:lvl>
    <w:lvl w:ilvl="8" w:tplc="448AD72E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45726C68"/>
    <w:multiLevelType w:val="hybridMultilevel"/>
    <w:tmpl w:val="60448780"/>
    <w:lvl w:ilvl="0" w:tplc="CE4CD0C8">
      <w:start w:val="1"/>
      <w:numFmt w:val="bullet"/>
      <w:lvlText w:val="●"/>
      <w:lvlJc w:val="left"/>
      <w:pPr>
        <w:ind w:left="720" w:hanging="360"/>
      </w:pPr>
    </w:lvl>
    <w:lvl w:ilvl="1" w:tplc="0C9E8234">
      <w:start w:val="1"/>
      <w:numFmt w:val="bullet"/>
      <w:lvlText w:val="○"/>
      <w:lvlJc w:val="left"/>
      <w:pPr>
        <w:ind w:left="1440" w:hanging="360"/>
      </w:pPr>
    </w:lvl>
    <w:lvl w:ilvl="2" w:tplc="85404FC8">
      <w:start w:val="1"/>
      <w:numFmt w:val="bullet"/>
      <w:lvlText w:val="■"/>
      <w:lvlJc w:val="left"/>
      <w:pPr>
        <w:ind w:left="2160" w:hanging="360"/>
      </w:pPr>
    </w:lvl>
    <w:lvl w:ilvl="3" w:tplc="1E645BAA">
      <w:start w:val="1"/>
      <w:numFmt w:val="bullet"/>
      <w:lvlText w:val="●"/>
      <w:lvlJc w:val="left"/>
      <w:pPr>
        <w:ind w:left="2880" w:hanging="360"/>
      </w:pPr>
    </w:lvl>
    <w:lvl w:ilvl="4" w:tplc="20BAC882">
      <w:start w:val="1"/>
      <w:numFmt w:val="bullet"/>
      <w:lvlText w:val="○"/>
      <w:lvlJc w:val="left"/>
      <w:pPr>
        <w:ind w:left="3600" w:hanging="360"/>
      </w:pPr>
    </w:lvl>
    <w:lvl w:ilvl="5" w:tplc="A7A272DE">
      <w:start w:val="1"/>
      <w:numFmt w:val="bullet"/>
      <w:lvlText w:val="■"/>
      <w:lvlJc w:val="left"/>
      <w:pPr>
        <w:ind w:left="4320" w:hanging="360"/>
      </w:pPr>
    </w:lvl>
    <w:lvl w:ilvl="6" w:tplc="5044B9F0">
      <w:start w:val="1"/>
      <w:numFmt w:val="bullet"/>
      <w:lvlText w:val="●"/>
      <w:lvlJc w:val="left"/>
      <w:pPr>
        <w:ind w:left="5040" w:hanging="360"/>
      </w:pPr>
    </w:lvl>
    <w:lvl w:ilvl="7" w:tplc="A1F81318">
      <w:start w:val="1"/>
      <w:numFmt w:val="bullet"/>
      <w:lvlText w:val="●"/>
      <w:lvlJc w:val="left"/>
      <w:pPr>
        <w:ind w:left="5760" w:hanging="360"/>
      </w:pPr>
    </w:lvl>
    <w:lvl w:ilvl="8" w:tplc="D7624AD2">
      <w:start w:val="1"/>
      <w:numFmt w:val="bullet"/>
      <w:lvlText w:val="●"/>
      <w:lvlJc w:val="left"/>
      <w:pPr>
        <w:ind w:left="6480" w:hanging="360"/>
      </w:pPr>
    </w:lvl>
  </w:abstractNum>
  <w:num w:numId="1" w16cid:durableId="48305180">
    <w:abstractNumId w:val="1"/>
    <w:lvlOverride w:ilvl="0">
      <w:startOverride w:val="1"/>
    </w:lvlOverride>
  </w:num>
  <w:num w:numId="2" w16cid:durableId="14835481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80E"/>
    <w:rsid w:val="00CA368F"/>
    <w:rsid w:val="00E27739"/>
    <w:rsid w:val="00F2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E7E20"/>
  <w15:docId w15:val="{8BEF5BEA-5CF3-4C27-93E7-0E1C4D1D0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979</Words>
  <Characters>5880</Characters>
  <Application>Microsoft Office Word</Application>
  <DocSecurity>0</DocSecurity>
  <Lines>143</Lines>
  <Paragraphs>81</Paragraphs>
  <ScaleCrop>false</ScaleCrop>
  <Company/>
  <LinksUpToDate>false</LinksUpToDate>
  <CharactersWithSpaces>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Inland Valley Auto Mall</cp:lastModifiedBy>
  <cp:revision>2</cp:revision>
  <cp:lastPrinted>2026-04-12T07:50:00Z</cp:lastPrinted>
  <dcterms:created xsi:type="dcterms:W3CDTF">2026-04-12T07:50:00Z</dcterms:created>
  <dcterms:modified xsi:type="dcterms:W3CDTF">2026-04-12T07:50:00Z</dcterms:modified>
</cp:coreProperties>
</file>