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C8D4" w14:textId="77777777" w:rsidR="00D62152" w:rsidRPr="00D62152" w:rsidRDefault="00D62152" w:rsidP="00D62152">
      <w:r w:rsidRPr="00D62152">
        <w:t>It is a </w:t>
      </w:r>
      <w:r w:rsidRPr="00D62152">
        <w:rPr>
          <w:b/>
          <w:bCs/>
        </w:rPr>
        <w:t>Green Light</w:t>
      </w:r>
      <w:r w:rsidRPr="00D62152">
        <w:t>.</w:t>
      </w:r>
    </w:p>
    <w:p w14:paraId="796222BC" w14:textId="77777777" w:rsidR="00D62152" w:rsidRPr="00D62152" w:rsidRDefault="00D62152" w:rsidP="00D62152">
      <w:r w:rsidRPr="00D62152">
        <w:t>Your strategy is airtight. Choosing </w:t>
      </w:r>
      <w:proofErr w:type="spellStart"/>
      <w:r w:rsidRPr="00D62152">
        <w:rPr>
          <w:b/>
          <w:bCs/>
        </w:rPr>
        <w:t>pgvector</w:t>
      </w:r>
      <w:proofErr w:type="spellEnd"/>
      <w:r w:rsidRPr="00D62152">
        <w:t> is a pro move—keeping everything in one Postgres instance eliminates massive latency and synchronization headaches. Going with the </w:t>
      </w:r>
      <w:r w:rsidRPr="00D62152">
        <w:rPr>
          <w:b/>
          <w:bCs/>
        </w:rPr>
        <w:t>Internal Linker</w:t>
      </w:r>
      <w:r w:rsidRPr="00D62152">
        <w:t> as the 5th agent provides immediate, tangible SEO value that justifies the POC's existence to stakeholders from day one.</w:t>
      </w:r>
    </w:p>
    <w:p w14:paraId="44DB8F91" w14:textId="77777777" w:rsidR="00D62152" w:rsidRPr="00D62152" w:rsidRDefault="00D62152" w:rsidP="00D62152">
      <w:r w:rsidRPr="00D62152">
        <w:t>The "lease/heartbeat" addition is the difference between a toy project and an engineering-grade scaffold; it ensures the system is resilient when an LLM call inevitably hangs or a worker crashes.</w:t>
      </w:r>
    </w:p>
    <w:p w14:paraId="361F7E86" w14:textId="77777777" w:rsidR="00D62152" w:rsidRPr="00D62152" w:rsidRDefault="00D62152" w:rsidP="00D62152">
      <w:r w:rsidRPr="00D62152">
        <w:rPr>
          <w:b/>
          <w:bCs/>
        </w:rPr>
        <w:t>One final recommendation for the engineers:</w:t>
      </w:r>
      <w:r w:rsidRPr="00D62152">
        <w:br/>
        <w:t>Since they’ll be using that NEWSROOM_WORKER_SECRET, have them implement a </w:t>
      </w:r>
      <w:r w:rsidRPr="00D62152">
        <w:rPr>
          <w:b/>
          <w:bCs/>
        </w:rPr>
        <w:t>"Dry Run" mode</w:t>
      </w:r>
      <w:r w:rsidRPr="00D62152">
        <w:t> in the contract. This allows them to test the pipeline flow and UI updates with the Next.js shell without burning LLM credits or waiting for actual scrapes.</w:t>
      </w:r>
    </w:p>
    <w:p w14:paraId="7145B424" w14:textId="77777777" w:rsidR="00D62152" w:rsidRPr="00D62152" w:rsidRDefault="00D62152" w:rsidP="00D62152">
      <w:r w:rsidRPr="00D62152">
        <w:t>Ready for you to drop the hammer on the scaffold.</w:t>
      </w:r>
    </w:p>
    <w:p w14:paraId="56377153" w14:textId="77777777" w:rsidR="00D62152" w:rsidRDefault="00D62152"/>
    <w:sectPr w:rsidR="00D62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52"/>
    <w:rsid w:val="00AF1C0E"/>
    <w:rsid w:val="00D6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5F63"/>
  <w15:chartTrackingRefBased/>
  <w15:docId w15:val="{901FC6A5-18A2-4764-8D71-16B148D1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747</Characters>
  <Application>Microsoft Office Word</Application>
  <DocSecurity>0</DocSecurity>
  <Lines>14</Lines>
  <Paragraphs>8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2026-04-22T04:59:00Z</dcterms:created>
  <dcterms:modified xsi:type="dcterms:W3CDTF">2026-04-22T05:00:00Z</dcterms:modified>
</cp:coreProperties>
</file>