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222222"/>
          <w:sz w:val="40"/>
        </w:rPr>
        <w:t>EVALUATE ARGUEMENTS FOR STAND ALONE EMERGENCY MANAGEMENT</w:t>
      </w:r>
    </w:p>
    <w:p>
      <w:pPr>
        <w:jc w:val="center"/>
      </w:pPr>
      <w:r>
        <w:rPr>
          <w:rFonts w:ascii="Calibri" w:hAnsi="Calibri"/>
          <w:color w:val="555555"/>
          <w:sz w:val="22"/>
        </w:rPr>
        <w:t>EXECUTIVE  SUMMARY</w:t>
      </w:r>
    </w:p>
    <w:p>
      <w:pPr>
        <w:jc w:val="center"/>
      </w:pPr>
      <w:r>
        <w:rPr>
          <w:rFonts w:ascii="Calibri" w:hAnsi="Calibri"/>
          <w:color w:val="777777"/>
          <w:sz w:val="20"/>
        </w:rPr>
        <w:t>May 2026  ·  Transform Airports AI Council</w:t>
      </w:r>
    </w:p>
    <w:p/>
    <w:p>
      <w:pPr>
        <w:pStyle w:val="Heading1"/>
      </w:pPr>
      <w:r>
        <w:rPr>
          <w:rFonts w:ascii="Calibri" w:hAnsi="Calibri"/>
          <w:sz w:val="32"/>
        </w:rPr>
        <w:t>The Coordinator and the Commander: Why MWAA's Emergency Management Function Belongs at the Executive Table</w:t>
      </w:r>
    </w:p>
    <w:p>
      <w:r>
        <w:rPr>
          <w:rFonts w:ascii="Calibri" w:hAnsi="Calibri"/>
          <w:b/>
          <w:sz w:val="22"/>
        </w:rPr>
        <w:t>Stage 3 Final Draft | Council Run: Evaluate Arguments for Stand-Alone Emergency Management | May 2026</w:t>
      </w:r>
    </w:p>
    <w:p>
      <w:pPr>
        <w:pStyle w:val="Heading2"/>
      </w:pPr>
      <w:r>
        <w:rPr>
          <w:rFonts w:ascii="Calibri" w:hAnsi="Calibri"/>
          <w:sz w:val="28"/>
        </w:rPr>
        <w:t>I. The Scene</w:t>
      </w:r>
    </w:p>
    <w:p>
      <w:r>
        <w:rPr>
          <w:rFonts w:ascii="Calibri" w:hAnsi="Calibri"/>
          <w:sz w:val="22"/>
        </w:rPr>
        <w:t>At 8:47 p.m. on Wednesday, January 29, 2025, an Army Black Hawk collided with PSA Flight 5342 on final approach to Reagan National. Sixty-seven people died in 35-degree water. Within thirty minutes the response had drawn MWAA Fire and Rescue, DC Fire and EMS, the Metropolitan Police Department, the Coast Guard, the FBI, Maryland State Police, and the White House Situation Room. In the hours that followed, the NTSB scene team stood up, and DCA suspended commercial operations for fourteen hours. Family members began arriving before the airport had finished communicating its diversion plan.</w:t>
      </w:r>
    </w:p>
    <w:p>
      <w:pPr>
        <w:pStyle w:val="Heading2"/>
      </w:pPr>
      <w:r>
        <w:rPr>
          <w:rFonts w:ascii="Calibri" w:hAnsi="Calibri"/>
          <w:sz w:val="28"/>
        </w:rPr>
        <w:t>II. Executive Summary</w:t>
      </w:r>
    </w:p>
    <w:p>
      <w:pPr>
        <w:pStyle w:val="ListNumber"/>
      </w:pPr>
      <w:r>
        <w:rPr>
          <w:rFonts w:ascii="Calibri" w:hAnsi="Calibri"/>
          <w:b/>
          <w:sz w:val="22"/>
        </w:rPr>
        <w:t>Federal regulation already treats EM as an enterprise function.</w:t>
      </w:r>
      <w:r>
        <w:rPr>
          <w:rFonts w:ascii="Calibri" w:hAnsi="Calibri"/>
          <w:sz w:val="22"/>
        </w:rPr>
        <w:t xml:space="preserve"> 14 CFR §139.325 assigns ownership of the Airport Emergency Plan to the certificate holder — the Authority — and requires coordination across law enforcement, ARFF, medical, principal tenants, and "all other persons who have responsibilities under the plan."¹ The FAA's 2023 SMS rule designates an Accountable Executive at the Airport Manager level — not at any department head — with control of the certificate holder's resources for safety performance.² ICAO Annex 14 makes the aerodrome EOC, not any department, responsible for "the overall coordination and general direction of the response to an emergency."³ PPD-8 names five federal preparedness mission areas; only response sits inside any single department.⁴ Four regulatory regimes describe enterprise authority. None describe a department-head job.</w:t>
      </w:r>
    </w:p>
    <w:p>
      <w:pPr>
        <w:pStyle w:val="Heading2"/>
      </w:pPr>
      <w:r>
        <w:rPr>
          <w:rFonts w:ascii="Calibri" w:hAnsi="Calibri"/>
          <w:sz w:val="28"/>
        </w:rPr>
        <w:t>III. The Argument</w:t>
      </w:r>
    </w:p>
    <w:p>
      <w:r>
        <w:rPr>
          <w:rFonts w:ascii="Calibri" w:hAnsi="Calibri"/>
          <w:sz w:val="22"/>
        </w:rPr>
        <w:t>The Airport Emergency Plan required under 14 CFR §139.325 covers eighteen distinct emergency categories. Aircraft accidents and structural fires are on the list. So are power failures, hazmat, water rescue, public health events, sabotage, and natural disasters. Count the categories whose incident lead is ARFF or police. Then count the categories whose lead is IT, Engineering, Operations, Finance, or an external federal agency. The second count is larger. The regulation assigns ownership to the certificate holder. Most US airports — including MWAA — have read it as a Public Safety deliverable.¹³ Why is a question of history more than of law.</w:t>
      </w:r>
    </w:p>
    <w:p>
      <w:r>
        <w:rPr>
          <w:rFonts w:ascii="Calibri" w:hAnsi="Calibri"/>
          <w:sz w:val="22"/>
        </w:rPr>
        <w:t>A standing duty-officer rotation — staffed 24/7, with authority to activate the EOC without committee consensus — is the operational difference between a planning function and an emergency function. The Stage 1 record does not document an EM-specific rotation at MWAA at that standard. [UNVERIFIED — HUMAN REVIEW]²²</w:t>
      </w:r>
    </w:p>
    <w:p>
      <w:pPr>
        <w:pStyle w:val="Heading2"/>
      </w:pPr>
      <w:r>
        <w:rPr>
          <w:rFonts w:ascii="Calibri" w:hAnsi="Calibri"/>
          <w:sz w:val="28"/>
        </w:rPr>
        <w:t>IV. The Counter-Case</w:t>
      </w:r>
    </w:p>
    <w:p>
      <w:r>
        <w:rPr>
          <w:rFonts w:ascii="Calibri" w:hAnsi="Calibri"/>
          <w:sz w:val="22"/>
        </w:rPr>
        <w:t>The honest counter-argument has four parts.</w:t>
      </w:r>
    </w:p>
    <w:p>
      <w:pPr>
        <w:pStyle w:val="Heading2"/>
      </w:pPr>
      <w:r>
        <w:rPr>
          <w:rFonts w:ascii="Calibri" w:hAnsi="Calibri"/>
          <w:sz w:val="28"/>
        </w:rPr>
        <w:t>V. Where the Counter-Case Lands</w:t>
      </w:r>
    </w:p>
    <w:p>
      <w:r>
        <w:rPr>
          <w:rFonts w:ascii="Calibri" w:hAnsi="Calibri"/>
          <w:sz w:val="22"/>
        </w:rPr>
        <w:t>The counter-arguments do real work. None rescues the status quo. Each shifts the design.</w:t>
      </w:r>
    </w:p>
    <w:p>
      <w:pPr>
        <w:pStyle w:val="Heading2"/>
      </w:pPr>
      <w:r>
        <w:rPr>
          <w:rFonts w:ascii="Calibri" w:hAnsi="Calibri"/>
          <w:sz w:val="28"/>
        </w:rPr>
        <w:t>VI. Implications for MWAA</w:t>
      </w:r>
    </w:p>
    <w:p>
      <w:r>
        <w:rPr>
          <w:rFonts w:ascii="Calibri" w:hAnsi="Calibri"/>
          <w:sz w:val="22"/>
        </w:rPr>
        <w:t>The political geography is asymmetric. DCA serves Congress; IAD serves the federal government's international travel; the Authority's seventeen-member board answers to four appointing authorities — Virginia (seven seats), DC (four), Maryland (three), the President (three) — under an interstate compact codified at 49 U.S.C. §49103.³⁵ Major incidents at DCA reach Congressional staff quickly.³⁶ The financial cushion — 3.16x debt service coverage and 1,006 days cash on hand as of 2024 — gives the CEO room to invest in enterprise resilience now, pre-incident, at low cost.³⁷ The rating is not at risk. The qualitative management factor is, after a mismanaged enterprise-scale incident conducted under Congressional subpoena.</w:t>
      </w:r>
    </w:p>
    <w:p>
      <w:pPr>
        <w:pStyle w:val="Heading2"/>
      </w:pPr>
      <w:r>
        <w:rPr>
          <w:rFonts w:ascii="Calibri" w:hAnsi="Calibri"/>
          <w:sz w:val="28"/>
        </w:rPr>
        <w:t>VII. Close</w:t>
      </w:r>
    </w:p>
    <w:p>
      <w:r>
        <w:rPr>
          <w:rFonts w:ascii="Calibri" w:hAnsi="Calibri"/>
          <w:sz w:val="22"/>
        </w:rPr>
        <w:t>On January 6, 2017, in the baggage claim at Fort Lauderdale-Hollywood International [UNVERIFIED — HUMAN REVIEW: Stage 1 briefs identify the FLL incident but do not anchor the specific terminal where the shooting occurred; historically reported as Terminal 2], a passenger retrieved a checked firearm and opened fire. Five people died. The airport's EOC sat inside the security perimeter and was rendered inaccessible. Three separate command posts stood up. There was no unified command. Approximately 2,600 officers from multiple agencies converged with no staging plan. The EOC was relocated outside the perimeter after the incident.⁴⁰</w:t>
      </w:r>
    </w:p>
    <w:p>
      <w:pPr>
        <w:pStyle w:val="Heading2"/>
      </w:pPr>
      <w:r>
        <w:rPr>
          <w:rFonts w:ascii="Calibri" w:hAnsi="Calibri"/>
          <w:sz w:val="28"/>
        </w:rPr>
        <w:t>Endnotes</w:t>
      </w:r>
    </w:p>
    <w:p>
      <w:r>
        <w:rPr>
          <w:rFonts w:ascii="Calibri" w:hAnsi="Calibri"/>
          <w:sz w:val="22"/>
        </w:rPr>
        <w:t>¹ 14 CFR §139.325, Airport Emergency Plan; FAA CertAlert 24-09 (October 2024). https://www.ecfr.gov/current/title-14/chapter-I/subchapter-G/part-139/subpart-D/section-139.325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