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56"/>
        </w:rPr>
        <w:t>Evaluate Arguements for Stand Alone Emergency Management</w:t>
      </w:r>
    </w:p>
    <w:p>
      <w:pPr>
        <w:jc w:val="center"/>
      </w:pPr>
      <w:r>
        <w:rPr>
          <w:rFonts w:ascii="Calibri" w:hAnsi="Calibri"/>
          <w:color w:val="555555"/>
          <w:sz w:val="28"/>
        </w:rPr>
        <w:t>A Council Argument</w:t>
      </w:r>
    </w:p>
    <w:p/>
    <w:p/>
    <w:p>
      <w:pPr>
        <w:jc w:val="center"/>
      </w:pPr>
      <w:r>
        <w:rPr>
          <w:rFonts w:ascii="Calibri" w:hAnsi="Calibri"/>
          <w:sz w:val="24"/>
        </w:rPr>
        <w:t>Transform Airports AI Council</w:t>
      </w:r>
    </w:p>
    <w:p>
      <w:pPr>
        <w:jc w:val="center"/>
      </w:pPr>
      <w:r>
        <w:rPr>
          <w:rFonts w:ascii="Calibri" w:hAnsi="Calibri"/>
          <w:sz w:val="22"/>
        </w:rPr>
        <w:t>May 15, 2026</w:t>
      </w:r>
    </w:p>
    <w:p>
      <w:pPr>
        <w:jc w:val="center"/>
      </w:pPr>
      <w:r>
        <w:rPr>
          <w:i/>
          <w:color w:val="AA3333"/>
          <w:sz w:val="22"/>
        </w:rPr>
        <w:t>DRAFT — for review</w:t>
      </w:r>
    </w:p>
    <w:p>
      <w:r>
        <w:br w:type="page"/>
      </w:r>
    </w:p>
    <w:p>
      <w:r>
        <w:fldChar w:fldCharType="begin"/>
        <w:instrText xml:space="preserve">TOC \o "1-3" \h \z \u</w:instrText>
        <w:fldChar w:fldCharType="separate"/>
        <w:fldChar w:fldCharType="end"/>
      </w:r>
    </w:p>
    <w:p>
      <w:r>
        <w:rPr>
          <w:i/>
        </w:rPr>
        <w:t>(Right-click → Update Field in Word to populate the table of contents.)</w:t>
      </w:r>
    </w:p>
    <w:p>
      <w:r>
        <w:br w:type="page"/>
      </w:r>
    </w:p>
    <w:p>
      <w:pPr>
        <w:pStyle w:val="Heading1"/>
      </w:pPr>
      <w:r>
        <w:rPr>
          <w:rFonts w:ascii="Calibri" w:hAnsi="Calibri"/>
          <w:sz w:val="32"/>
        </w:rPr>
        <w:t>The Coordinator and the Commander: Why MWAA's Emergency Management Function Belongs at the Executive Table</w:t>
      </w:r>
    </w:p>
    <w:p>
      <w:r>
        <w:rPr>
          <w:rFonts w:ascii="Calibri" w:hAnsi="Calibri"/>
          <w:b/>
          <w:sz w:val="22"/>
        </w:rPr>
        <w:t>Stage 3 Final Draft | Council Run: Evaluate Arguments for Stand-Alone Emergency Management | May 2026</w:t>
      </w:r>
    </w:p>
    <w:p>
      <w:r>
        <w:rPr>
          <w:rFonts w:ascii="Calibri" w:hAnsi="Calibri"/>
          <w:sz w:val="22"/>
        </w:rPr>
        <w:t>---</w:t>
      </w:r>
    </w:p>
    <w:p>
      <w:pPr>
        <w:pStyle w:val="Heading2"/>
      </w:pPr>
      <w:r>
        <w:rPr>
          <w:rFonts w:ascii="Calibri" w:hAnsi="Calibri"/>
          <w:sz w:val="28"/>
        </w:rPr>
        <w:t>I. The Scene</w:t>
      </w:r>
    </w:p>
    <w:p>
      <w:r>
        <w:rPr>
          <w:rFonts w:ascii="Calibri" w:hAnsi="Calibri"/>
          <w:sz w:val="22"/>
        </w:rPr>
        <w:t>At 8:47 p.m. on Wednesday, January 29, 2025, an Army Black Hawk collided with PSA Flight 5342 on final approach to Reagan National. Sixty-seven people died in 35-degree water. Within thirty minutes the response had drawn MWAA Fire and Rescue, DC Fire and EMS, the Metropolitan Police Department, the Coast Guard, the FBI, Maryland State Police, and the White House Situation Room. In the hours that followed, the NTSB scene team stood up, and DCA suspended commercial operations for fourteen hours. Family members began arriving before the airport had finished communicating its diversion plan.</w:t>
      </w:r>
    </w:p>
    <w:p>
      <w:r>
        <w:rPr>
          <w:rFonts w:ascii="Calibri" w:hAnsi="Calibri"/>
          <w:sz w:val="22"/>
        </w:rPr>
        <w:t>Somebody in that room held the line between a river recovery, a closed airfield, an airline diversion plan, a family assistance activation, an NTSB scene, and a Congressional delegation that would call before midnight. Not the Incident Commander — he was running the tactical response on-scene. The airport's emergency management function, whose job is the coordination problem, not the command problem.</w:t>
      </w:r>
    </w:p>
    <w:p>
      <w:r>
        <w:rPr>
          <w:rFonts w:ascii="Calibri" w:hAnsi="Calibri"/>
          <w:sz w:val="22"/>
        </w:rPr>
        <w:t>At MWAA, the coordinator does not sit where the coordinator needs to sit. Emergency Management reports through the Vice President of Public Safety — inherited from the 1987 transfer of the airports from federal to interstate-compact control and never deliberately re-examined. The arrangement is out of step with the FAA's 2023 SMS rule, with peer-hub practice at MCO, ATL, LAX, and DEN, and with a threat profile whose most consequential disruptions exceed any single department's command reach.</w:t>
      </w:r>
    </w:p>
    <w:p>
      <w:r>
        <w:rPr>
          <w:rFonts w:ascii="Calibri" w:hAnsi="Calibri"/>
          <w:sz w:val="22"/>
        </w:rPr>
        <w:t>---</w:t>
      </w:r>
    </w:p>
    <w:p>
      <w:pPr>
        <w:pStyle w:val="Heading2"/>
      </w:pPr>
      <w:r>
        <w:rPr>
          <w:rFonts w:ascii="Calibri" w:hAnsi="Calibri"/>
          <w:sz w:val="28"/>
        </w:rPr>
        <w:t>II. Executive Summary</w:t>
      </w:r>
    </w:p>
    <w:p>
      <w:pPr>
        <w:pStyle w:val="ListNumber"/>
      </w:pPr>
      <w:r>
        <w:rPr>
          <w:rFonts w:ascii="Calibri" w:hAnsi="Calibri"/>
          <w:b/>
          <w:sz w:val="22"/>
        </w:rPr>
        <w:t>Federal regulation already treats EM as an enterprise function.</w:t>
      </w:r>
      <w:r>
        <w:rPr>
          <w:rFonts w:ascii="Calibri" w:hAnsi="Calibri"/>
          <w:sz w:val="22"/>
        </w:rPr>
        <w:t xml:space="preserve"> 14 CFR §139.325 assigns ownership of the Airport Emergency Plan to the certificate holder — the Authority — and requires coordination across law enforcement, ARFF, medical, principal tenants, and "all other persons who have responsibilities under the plan."¹ The FAA's 2023 SMS rule designates an Accountable Executive at the Airport Manager level — not at any department head — with control of the certificate holder's resources for safety performance.² ICAO Annex 14 makes the aerodrome EOC, not any department, responsible for "the overall coordination and general direction of the response to an emergency."³ PPD-8 names five federal preparedness mission areas; only response sits inside any single department.⁴ Four regulatory regimes describe enterprise authority. None describe a department-head job.</w:t>
      </w:r>
    </w:p>
    <w:p>
      <w:pPr>
        <w:pStyle w:val="ListNumber"/>
      </w:pPr>
      <w:r>
        <w:rPr>
          <w:rFonts w:ascii="Calibri" w:hAnsi="Calibri"/>
          <w:b/>
          <w:sz w:val="22"/>
        </w:rPr>
        <w:t>The peer-hub cohort has converged on one configuration.</w:t>
      </w:r>
      <w:r>
        <w:rPr>
          <w:rFonts w:ascii="Calibri" w:hAnsi="Calibri"/>
          <w:sz w:val="22"/>
        </w:rPr>
        <w:t xml:space="preserve"> Orlando — the only EMAP-accredited airport in the world as of 2026 — places EM under the VP of Airport Operations. Atlanta places it under the Senior Deputy General Manager of Operations, alongside Public Safety. LAX makes EM a peer to Airside, Landside, and Terminal Operations. Denver embeds it inside the SVP of Airport Operations portfolio.⁵ The pattern is peer status under one senior operations executive — not separation from Public Safety. MWAA's structure tracks DFW, which keeps EM inside Public Safety.⁶</w:t>
      </w:r>
    </w:p>
    <w:p>
      <w:pPr>
        <w:pStyle w:val="ListNumber"/>
      </w:pPr>
      <w:r>
        <w:rPr>
          <w:rFonts w:ascii="Calibri" w:hAnsi="Calibri"/>
          <w:b/>
          <w:sz w:val="22"/>
        </w:rPr>
        <w:t>The disruptions that break a hub airport are not Public Safety incidents.</w:t>
      </w:r>
      <w:r>
        <w:rPr>
          <w:rFonts w:ascii="Calibri" w:hAnsi="Calibri"/>
          <w:sz w:val="22"/>
        </w:rPr>
        <w:t xml:space="preserve"> Atlanta's December 17, 2017 power outage cost Delta roughly $50 million and 1,200 cancellations in eleven hours; the failure traced to a coordination gap between AATC, Georgia Power, and the airport over physical access to the electrical infrastructure.⁷ CrowdStrike on July 19, 2024 cost Delta approximately $500 million and five operational days; American Airlines recovered the same evening on pre-built continuity frameworks.⁸ A 2023 GAO review of 321 power outages at 24 commercial airports found cross-departmental coordination mechanisms consistently absent.⁹ NACo's national survey found 90 percent of county EM directors report to elected officials or to the chief executive directly — the aggregate of the 46 percent reporting to elected officials and the 44 percent reporting to the county administrator, executive, or manager.¹⁰ An airport authority sits at the county-government scale.</w:t>
      </w:r>
    </w:p>
    <w:p>
      <w:pPr>
        <w:pStyle w:val="ListNumber"/>
      </w:pPr>
      <w:r>
        <w:rPr>
          <w:rFonts w:ascii="Calibri" w:hAnsi="Calibri"/>
          <w:b/>
          <w:sz w:val="22"/>
        </w:rPr>
        <w:t>The Argonne 2025 national study found standalone EM agencies report higher effectiveness — but only when paired with dedicated staff and clear mission.</w:t>
      </w:r>
      <w:r>
        <w:rPr>
          <w:rFonts w:ascii="Calibri" w:hAnsi="Calibri"/>
          <w:sz w:val="22"/>
        </w:rPr>
        <w:t>¹¹ Without that pairing, standalone status correlates with isolation. That conditional is not a reason to keep EM under PSD. It is the design constraint the reorganization must satisfy.</w:t>
      </w:r>
    </w:p>
    <w:p>
      <w:pPr>
        <w:pStyle w:val="ListNumber"/>
      </w:pPr>
      <w:r>
        <w:rPr>
          <w:rFonts w:ascii="Calibri" w:hAnsi="Calibri"/>
          <w:b/>
          <w:sz w:val="22"/>
        </w:rPr>
        <w:t>The January 29, 2025 DCA collision is MWAA's empirical case.</w:t>
      </w:r>
      <w:r>
        <w:rPr>
          <w:rFonts w:ascii="Calibri" w:hAnsi="Calibri"/>
          <w:sz w:val="22"/>
        </w:rPr>
        <w:t xml:space="preserve"> A multi-agency, mass-casualty event with sustained Congressional and Executive Branch engagement, requiring coordination across at least five lanes that no single department owns. The NTSB's January 2026 final report cited "deep systemic failures."¹² Congress and federal partners will ask what the Authority did with that event. Reorganization is one credible answer. Leaving the structure in place is also an answer.</w:t>
      </w:r>
    </w:p>
    <w:p>
      <w:r>
        <w:rPr>
          <w:rFonts w:ascii="Calibri" w:hAnsi="Calibri"/>
          <w:sz w:val="22"/>
        </w:rPr>
        <w:t>---</w:t>
      </w:r>
    </w:p>
    <w:p>
      <w:pPr>
        <w:pStyle w:val="Heading2"/>
      </w:pPr>
      <w:r>
        <w:rPr>
          <w:rFonts w:ascii="Calibri" w:hAnsi="Calibri"/>
          <w:sz w:val="28"/>
        </w:rPr>
        <w:t>III. The Argument</w:t>
      </w:r>
    </w:p>
    <w:p>
      <w:r>
        <w:rPr>
          <w:rFonts w:ascii="Calibri" w:hAnsi="Calibri"/>
          <w:sz w:val="22"/>
        </w:rPr>
        <w:t>The Airport Emergency Plan required under 14 CFR §139.325 covers eighteen distinct emergency categories. Aircraft accidents and structural fires are on the list. So are power failures, hazmat, water rescue, public health events, sabotage, and natural disasters. Count the categories whose incident lead is ARFF or police. Then count the categories whose lead is IT, Engineering, Operations, Finance, or an external federal agency. The second count is larger. The regulation assigns ownership to the certificate holder. Most US airports — including MWAA — have read it as a Public Safety deliverable.¹³ Why is a question of history more than of law.</w:t>
      </w:r>
    </w:p>
    <w:p>
      <w:r>
        <w:rPr>
          <w:rFonts w:ascii="Calibri" w:hAnsi="Calibri"/>
          <w:sz w:val="22"/>
        </w:rPr>
        <w:t>Civil defense in the 1950s and 1960s lived in the fire department because that was where the radios were. At MWAA, the FAA's firefighting branch became the institutional nucleus of Public Safety in 1987, when the FAA transferred the airports to the newly created Metropolitan Washington Airports Authority under interstate compact.¹⁴ The radios moved long ago. The org chart did not.</w:t>
      </w:r>
    </w:p>
    <w:p>
      <w:r>
        <w:rPr>
          <w:rFonts w:ascii="Calibri" w:hAnsi="Calibri"/>
          <w:sz w:val="22"/>
        </w:rPr>
        <w:t>The FAA closed the ambiguity in 2023. The Airport SMS rule, effective April 24, designates an Accountable Executive at the Airport Manager level — "a formal, top-down, organization-wide approach to managing safety risk," in the FAA's own language.² MWAA now runs two parallel enterprise risk programs: SMS (Accountable Executive) and EM (VP for Public Safety). Both must identify hazards, assess risks, and drive corrective actions across all departments. When the next incident review asks who owned the cross-departmental hazard, both will point at each other.¹⁵</w:t>
      </w:r>
    </w:p>
    <w:p>
      <w:r>
        <w:rPr>
          <w:rFonts w:ascii="Calibri" w:hAnsi="Calibri"/>
          <w:sz w:val="22"/>
        </w:rPr>
        <w:t>The peer-hub structure has settled. ATL goes furthest: Augustus Hudson, the Senior Deputy General Manager of Operations at Hartsfield-Jackson, holds Emergency Management, Airport Operations, Public Safety, Law Enforcement, Fire and Medical, Maintenance, and Transportation in one integrated portfolio.¹⁷ EM sits as a peer to PSD under the operations general manager. LAX uses a similar peer configuration under one operations executive, making EM a direct-report division alongside Airside, Landside, Terminal Operations, and Operations Administrative Support.¹⁸ Denver places EM inside the SVP of Airport Operations portfolio.¹⁹ Orlando earned EMAP accreditation in 2020 after a three-year process that began in February 2017 — joint planning and exercise discipline consistently harder to drive from inside a single operational department.¹⁶ The cohort has not moved EM away from PSD. It has moved EM and PSD to peer status under one senior operations executive.</w:t>
      </w:r>
    </w:p>
    <w:p>
      <w:r>
        <w:rPr>
          <w:rFonts w:ascii="Calibri" w:hAnsi="Calibri"/>
          <w:sz w:val="22"/>
        </w:rPr>
        <w:t>The threat case is sharpest in the AATC tunnel at Hartsfield-Jackson on the afternoon of December 17, 2017. An underground electrical fire took the world's busiest airport down; the backup system failed in the same event.²⁰ AATC — the airline-controlled consortium with access to the electrical infrastructure — was reachable on a Sunday afternoon, but not immediately, and not at the level of authority required. The EOC activated. For days afterward, basic questions about who controlled the electrical tunnels had not been publicly answered. The cost: roughly $50 million to one airline, 1,200 cancellations, and eleven hours of darkness.⁷</w:t>
      </w:r>
    </w:p>
    <w:p>
      <w:r>
        <w:rPr>
          <w:rFonts w:ascii="Calibri" w:hAnsi="Calibri"/>
          <w:sz w:val="22"/>
        </w:rPr>
        <w:t>Seven years later, CrowdStrike repeated the lesson in a different idiom. Delta absorbed approximately $500 million in losses and five operational days because the cascade hit a crew-tracking system with no rehearsed manual fallback; American recovered the same evening.⁸ Same triggering event, opposite outcomes — the value of mature enterprise continuity planning, exposed.</w:t>
      </w:r>
    </w:p>
    <w:p>
      <w:r>
        <w:rPr>
          <w:rFonts w:ascii="Calibri" w:hAnsi="Calibri"/>
          <w:sz w:val="22"/>
        </w:rPr>
        <w:t>The threat profile also includes the operational tempo that does not make the newspaper. A January IROPS event at IAD, with ground stops cascading from Newark and Boston, puts the COO's desk in the first ninety minutes on gate reassignments, baggage belt prioritization, de-ice pad coordination, FIDS, and ground handler positioning. The Emergency Manager, seated under the VP of Public Safety, has direct authority over none of those levers. The COO becomes the de facto emergency coordinator by default, because no one else has the standing to convene IT, Facilities, Airline Relations, and Operations in the same room within the hour.²¹ IROPS exposes the structural gap before the catastrophic event does.</w:t>
      </w:r>
    </w:p>
    <w:p>
      <w:r>
        <w:rPr>
          <w:rFonts w:ascii="Calibri" w:hAnsi="Calibri"/>
          <w:sz w:val="22"/>
        </w:rPr>
        <w:t>A standing duty-officer rotation — staffed 24/7, with authority to activate the EOC without committee consensus — is the operational difference between a planning function and an emergency function. The Stage 1 record does not document an EM-specific rotation at MWAA at that standard. [UNVERIFIED — HUMAN REVIEW]²²</w:t>
      </w:r>
    </w:p>
    <w:p>
      <w:r>
        <w:rPr>
          <w:rFonts w:ascii="Calibri" w:hAnsi="Calibri"/>
          <w:sz w:val="22"/>
        </w:rPr>
        <w:t>Atlanta 2017, CrowdStrike, IROPS, DCA: none was a single-department event, and none was solved by command-and-control. They were solved — or, in the worst cases, not solved — by the coordination function holding the spaces between departments and agencies. The Director of Public Safety says so in his own brief. ARFF compliance under 14 CFR §139.319, TSA 1542 security programming, PSAP operations across two airports and the Dulles Toll Road, and patrol staffing consume his command capacity continuously. Emergency planning is the work scheduled in the gaps. When IAD or DCA absorbs a major incident, the planning calendar stops.²³</w:t>
      </w:r>
    </w:p>
    <w:p>
      <w:r>
        <w:rPr>
          <w:rFonts w:ascii="Calibri" w:hAnsi="Calibri"/>
          <w:sz w:val="22"/>
        </w:rPr>
        <w:t>---</w:t>
      </w:r>
    </w:p>
    <w:p>
      <w:pPr>
        <w:pStyle w:val="Heading2"/>
      </w:pPr>
      <w:r>
        <w:rPr>
          <w:rFonts w:ascii="Calibri" w:hAnsi="Calibri"/>
          <w:sz w:val="28"/>
        </w:rPr>
        <w:t>IV. The Counter-Case</w:t>
      </w:r>
    </w:p>
    <w:p>
      <w:r>
        <w:rPr>
          <w:rFonts w:ascii="Calibri" w:hAnsi="Calibri"/>
          <w:sz w:val="22"/>
        </w:rPr>
        <w:t>The honest counter-argument has four parts.</w:t>
      </w:r>
    </w:p>
    <w:p>
      <w:r>
        <w:rPr>
          <w:rFonts w:ascii="Calibri" w:hAnsi="Calibri"/>
          <w:sz w:val="22"/>
        </w:rPr>
        <w:t>NIMS doctrine is the strongest. The EOC supports the Incident Commander; it does not command him. At every commercial airport, the IC for the incidents that activate doctrine is a Public Safety officer — ARFF for an aircraft emergency, police for a security incident. Elevating EM above PSD on the org chart does not change who has tactical authority when the alarm sounds. Done poorly, it introduces structural ambiguity in the first thirty minutes of an incident about whose authority governs. A senior EM executive with no line authority over the on-scene IC is two voices and no operational pull. A CEO reading the proposal will spot the gap immediately.²⁴</w:t>
      </w:r>
    </w:p>
    <w:p>
      <w:r>
        <w:rPr>
          <w:rFonts w:ascii="Calibri" w:hAnsi="Calibri"/>
          <w:sz w:val="22"/>
        </w:rPr>
        <w:t>The Argonne resource-starvation finding is the second. ProPublica's reporting traced the pattern to specific counties. The Saluda County, South Carolina director runs a six-person team that has absorbed the IT department and a spay-and-neuter program. The Yancey County, North Carolina director requested additional staff for years and got them only after Hurricane Helene devastated the county in 2024.²⁵ Legislatures grant EM independence as a low-cost gesture, then underfund it because the constituency pressure comes from sworn officers, not planners. Elevation at MWAA without a board-locked resource commitment replicates this in a different uniform.</w:t>
      </w:r>
    </w:p>
    <w:p>
      <w:r>
        <w:rPr>
          <w:rFonts w:ascii="Calibri" w:hAnsi="Calibri"/>
          <w:sz w:val="22"/>
        </w:rPr>
        <w:t>GAO's 2006 post-Katrina testimony on FEMA's placement — the most studied EM placement question in American history — concluded that "a number of factors may be ultimately more important to FEMA's success than its organizational placement," including mission clarity, leadership quality, resource adequacy, and planning. The debate ended with FEMA inside DHS, with enhanced authorities and a direct line to the Secretary. The fix was authority and resources, not the box on the org chart.²⁶</w:t>
      </w:r>
    </w:p>
    <w:p>
      <w:r>
        <w:rPr>
          <w:rFonts w:ascii="Calibri" w:hAnsi="Calibri"/>
          <w:sz w:val="22"/>
        </w:rPr>
        <w:t>Perception cuts the other way too. When EM reports through PSD, other divisions read it as a PSD program and disengage. That is real. But departments that have run their own continuity plans, safety programs, and incident protocols may read a standalone EM executive as a compliance function — an inspector arriving at exercises with a clipboard, not a partner who shares the consequences of failure.²⁷</w:t>
      </w:r>
    </w:p>
    <w:p>
      <w:r>
        <w:rPr>
          <w:rFonts w:ascii="Calibri" w:hAnsi="Calibri"/>
          <w:sz w:val="22"/>
        </w:rPr>
        <w:t>Three smaller objections. Most EOC activations are events PSD owns end-to-end, for which an enterprise EM function adds process overhead without value.²⁸ SMS requires an independent reporting channel to the Accountable Executive; the consolidated VP-of-Preparedness model creates a regulatory conflict between hazard identification and response management.²⁹ And no major US commercial airport operates a documented VP-of-Preparedness model. MWAA would be the first at this scale, with this regulatory complexity, with this political geometry. Being first is sometimes correct. It is never automatically correct.</w:t>
      </w:r>
    </w:p>
    <w:p>
      <w:r>
        <w:rPr>
          <w:rFonts w:ascii="Calibri" w:hAnsi="Calibri"/>
          <w:sz w:val="22"/>
        </w:rPr>
        <w:t>---</w:t>
      </w:r>
    </w:p>
    <w:p>
      <w:pPr>
        <w:pStyle w:val="Heading2"/>
      </w:pPr>
      <w:r>
        <w:rPr>
          <w:rFonts w:ascii="Calibri" w:hAnsi="Calibri"/>
          <w:sz w:val="28"/>
        </w:rPr>
        <w:t>V. Where the Counter-Case Lands</w:t>
      </w:r>
    </w:p>
    <w:p>
      <w:r>
        <w:rPr>
          <w:rFonts w:ascii="Calibri" w:hAnsi="Calibri"/>
          <w:sz w:val="22"/>
        </w:rPr>
        <w:t>The counter-arguments do real work. None rescues the status quo. Each shifts the design.</w:t>
      </w:r>
    </w:p>
    <w:p>
      <w:r>
        <w:rPr>
          <w:rFonts w:ascii="Calibri" w:hAnsi="Calibri"/>
          <w:sz w:val="22"/>
        </w:rPr>
        <w:t>On NIMS: doctrine is explicit. The IC manages the scene. The EOC manages everything that is not the scene — airline diversion, family assistance, federal liaison, executive briefings, terminal continuity, recovery — and its director needs the standing to convene other executives without routing through a department head. The design discipline is concrete: joint duty-officer rotation between EM and PSD, joint exercise leadership, and a Director of EM drawn from operational EM rather than from planning.³⁰</w:t>
      </w:r>
    </w:p>
    <w:p>
      <w:r>
        <w:rPr>
          <w:rFonts w:ascii="Calibri" w:hAnsi="Calibri"/>
          <w:sz w:val="22"/>
        </w:rPr>
        <w:t>On Argonne and post-Katrina: placement plus authority plus resources plus leadership solves the problem. The Emergency Management Consultant brief benchmarks a peer-sector VP of Preparedness position at $200,000 to $300,000 before staff and program costs; a director-level EM position sits below that range.³¹ Around that role the program needs planning staff, the duty-officer rotation, and a training and exercise budget protected from operational-budget volatility. Durability comes from federal grant capture — FEMA EMPG, BRIC, DHS UASI — streams an enterprise EM function with dedicated grant-coordination capacity is better positioned to access than a function buried inside PSD.³² A program that returns federal dollars one-to-one or better against operating cost survives the year-two budget review the Contrarian flagged: a 12 percent overhead cut after a $400 million capital overrun, with the VP of Preparedness as the softest target.³³ A grant-funded program is not the softest target. It is the highest return per dollar.</w:t>
      </w:r>
    </w:p>
    <w:p>
      <w:r>
        <w:rPr>
          <w:rFonts w:ascii="Calibri" w:hAnsi="Calibri"/>
          <w:sz w:val="22"/>
        </w:rPr>
        <w:t>On perception: an EM director who arrives at IT with a clipboard, or at Facilities with a binder, will receive exactly the engagement she has earned. The fix lies in how the elevated function is chartered — authority to convene, set cross-departmental planning standards, require exercise participation, and enforce corrective-action implementation through the SMS and AEP architectures — combined with a director who treats other departments as partners.³⁴</w:t>
      </w:r>
    </w:p>
    <w:p>
      <w:r>
        <w:rPr>
          <w:rFonts w:ascii="Calibri" w:hAnsi="Calibri"/>
          <w:sz w:val="22"/>
        </w:rPr>
        <w:t>The "small incident" objection deserves honest concession. The case for elevated EM does not rest on routine activations PSD owns end-to-end. It rests on the tail: multi-departmental, multi-agency, sustained-coordination events that exceed any single department's reach. The tail is where the Authority's reputational, financial, and political exposure concentrates.²⁸</w:t>
      </w:r>
    </w:p>
    <w:p>
      <w:r>
        <w:rPr>
          <w:rFonts w:ascii="Calibri" w:hAnsi="Calibri"/>
          <w:sz w:val="22"/>
        </w:rPr>
        <w:t>The SMS-independence concern is decisive. SMS needs a clean reporting line to the Accountable Executive. Folding SMS under a VP who also runs EM and risk management creates a regulatory conflict the FAA may eventually challenge.²⁹ The cleaner answer: elevate EM as a peer to PSD under the COO — the LAX/ATL configuration — leave SMS where it is, and treat the integration through joint planning cycles, joint exercise design, and a shared corrective-action register. The VP-of-Preparedness consolidation should come out of the version that reaches the executive team.</w:t>
      </w:r>
    </w:p>
    <w:p>
      <w:r>
        <w:rPr>
          <w:rFonts w:ascii="Calibri" w:hAnsi="Calibri"/>
          <w:sz w:val="22"/>
        </w:rPr>
        <w:t>---</w:t>
      </w:r>
    </w:p>
    <w:p>
      <w:pPr>
        <w:pStyle w:val="Heading2"/>
      </w:pPr>
      <w:r>
        <w:rPr>
          <w:rFonts w:ascii="Calibri" w:hAnsi="Calibri"/>
          <w:sz w:val="28"/>
        </w:rPr>
        <w:t>VI. Implications for MWAA</w:t>
      </w:r>
    </w:p>
    <w:p>
      <w:r>
        <w:rPr>
          <w:rFonts w:ascii="Calibri" w:hAnsi="Calibri"/>
          <w:sz w:val="22"/>
        </w:rPr>
        <w:t>The political geography is asymmetric. DCA serves Congress; IAD serves the federal government's international travel; the Authority's seventeen-member board answers to four appointing authorities — Virginia (seven seats), DC (four), Maryland (three), the President (three) — under an interstate compact codified at 49 U.S.C. §49103.³⁵ Major incidents at DCA reach Congressional staff quickly.³⁶ The financial cushion — 3.16x debt service coverage and 1,006 days cash on hand as of 2024 — gives the CEO room to invest in enterprise resilience now, pre-incident, at low cost.³⁷ The rating is not at risk. The qualitative management factor is, after a mismanaged enterprise-scale incident conducted under Congressional subpoena.</w:t>
      </w:r>
    </w:p>
    <w:p>
      <w:r>
        <w:rPr>
          <w:rFonts w:ascii="Calibri" w:hAnsi="Calibri"/>
          <w:sz w:val="22"/>
        </w:rPr>
        <w:t>The timing is governance-clock, not threat-calendar. The board holds an annual chair election; the Virginia bloc of seven is the largest appointing authority. The window opens immediately after a chair election in which the CEO has cultivated at least a working majority — nine of seventeen — who understand the rationale before the proposal reaches the agenda.³⁸ A CEO who brings the reorganization to a meeting without that preparation is not managing the political risk; she is creating it.</w:t>
      </w:r>
    </w:p>
    <w:p>
      <w:r>
        <w:rPr>
          <w:rFonts w:ascii="Calibri" w:hAnsi="Calibri"/>
          <w:sz w:val="22"/>
        </w:rPr>
        <w:t>The institutional gravity inside MWAA is real. The Fire and Rescue Department formed from the FAA's ARFF branch in 1987 and has operated as a dual-jurisdiction entity ever since.¹⁴ Public Safety carries earned operational credibility and political standing any reorganization must preserve. The framing that works is "expansion of enterprise capability," not "removal of authority from PSD." The LAX/ATL hybrid makes the VP for Public Safety an early partner — PSD remains a peer to EM under the same senior operations executive.</w:t>
      </w:r>
    </w:p>
    <w:p>
      <w:r>
        <w:rPr>
          <w:rFonts w:ascii="Calibri" w:hAnsi="Calibri"/>
          <w:sz w:val="22"/>
        </w:rPr>
        <w:t>The recommendation that should reach the COO and CEO is the hybrid: EM and Public Safety as peers to the COO. EM staffed at a director level with a duty-officer-anchored program, a budget benchmarked to the Consultant brief, convening authority across IT, Facilities, Communications, Finance, and Airline Relations, and a federal grant strategy that returns EMPG, BRIC, and UASI dollars against operating cost. SMS retains its independent line to the Accountable Executive. Joint duty-officer rotation between EM and PSD preserves the operational interface NIMS requires. EMAP becomes a strategic goal anchored to MCO's three-year benchmark, not a precondition.³⁹</w:t>
      </w:r>
    </w:p>
    <w:p>
      <w:r>
        <w:rPr>
          <w:rFonts w:ascii="Calibri" w:hAnsi="Calibri"/>
          <w:sz w:val="22"/>
        </w:rPr>
        <w:t>Three corrections before the memo reaches the COO. Drop the Tennessee TEMA citation — TEMA remains within the Tennessee Military Department, and a skeptical executive will check it. Reserve the consolidated VP-of-Preparedness option for a Phase 2 conversation three years after the baseline reorganization has performed. Attach a one-page resource exhibit — position cost, program staff, duty-officer rotation, grant strategy — that converts the proposal from an aspirational reorganization into a costed structural change the finance and audit committee can approve or amend.</w:t>
      </w:r>
    </w:p>
    <w:p>
      <w:r>
        <w:rPr>
          <w:rFonts w:ascii="Calibri" w:hAnsi="Calibri"/>
          <w:sz w:val="22"/>
        </w:rPr>
        <w:t>---</w:t>
      </w:r>
    </w:p>
    <w:p>
      <w:pPr>
        <w:pStyle w:val="Heading2"/>
      </w:pPr>
      <w:r>
        <w:rPr>
          <w:rFonts w:ascii="Calibri" w:hAnsi="Calibri"/>
          <w:sz w:val="28"/>
        </w:rPr>
        <w:t>VII. Close</w:t>
      </w:r>
    </w:p>
    <w:p>
      <w:r>
        <w:rPr>
          <w:rFonts w:ascii="Calibri" w:hAnsi="Calibri"/>
          <w:sz w:val="22"/>
        </w:rPr>
        <w:t>On January 6, 2017, in the baggage claim at Fort Lauderdale-Hollywood International [UNVERIFIED — HUMAN REVIEW: Stage 1 briefs identify the FLL incident but do not anchor the specific terminal where the shooting occurred; historically reported as Terminal 2], a passenger retrieved a checked firearm and opened fire. Five people died. The airport's EOC sat inside the security perimeter and was rendered inaccessible. Three separate command posts stood up. There was no unified command. Approximately 2,600 officers from multiple agencies converged with no staging plan. The EOC was relocated outside the perimeter after the incident.⁴⁰</w:t>
      </w:r>
    </w:p>
    <w:p>
      <w:r>
        <w:rPr>
          <w:rFonts w:ascii="Calibri" w:hAnsi="Calibri"/>
          <w:sz w:val="22"/>
        </w:rPr>
        <w:t>That is what an EM coordination failure looks like at an airport. Not a fire the ARFF chief mishandled, not a security incident the police commander botched. Multiple command posts trying to talk to each other on different radios while the EOC sits in a building no one can enter. The question MWAA has to answer is whether it learns this lesson before the next event or after it.</w:t>
      </w:r>
    </w:p>
    <w:p>
      <w:r>
        <w:rPr>
          <w:rFonts w:ascii="Calibri" w:hAnsi="Calibri"/>
          <w:sz w:val="22"/>
        </w:rPr>
        <w:t>---</w:t>
      </w:r>
    </w:p>
    <w:p>
      <w:pPr>
        <w:pStyle w:val="Heading2"/>
      </w:pPr>
      <w:r>
        <w:rPr>
          <w:rFonts w:ascii="Calibri" w:hAnsi="Calibri"/>
          <w:sz w:val="28"/>
        </w:rPr>
        <w:t>Endnotes</w:t>
      </w:r>
    </w:p>
    <w:p>
      <w:r>
        <w:rPr>
          <w:rFonts w:ascii="Calibri" w:hAnsi="Calibri"/>
          <w:sz w:val="22"/>
        </w:rPr>
        <w:t>¹ 14 CFR §139.325, Airport Emergency Plan; FAA CertAlert 24-09 (October 2024). https://www.ecfr.gov/current/title-14/chapter-I/subchapter-G/part-139/subpart-D/section-139.325</w:t>
      </w:r>
    </w:p>
    <w:p>
      <w:r>
        <w:rPr>
          <w:rFonts w:ascii="Calibri" w:hAnsi="Calibri"/>
          <w:sz w:val="22"/>
        </w:rPr>
        <w:t>² FAA Airport Safety Management Systems final rule, Federal Register 2023-03597, effective April 24, 2023.</w:t>
      </w:r>
    </w:p>
    <w:p>
      <w:r>
        <w:rPr>
          <w:rFonts w:ascii="Calibri" w:hAnsi="Calibri"/>
          <w:sz w:val="22"/>
        </w:rPr>
        <w:t>³ ICAO Annex 14, Volume I, aerodrome emergency operations centre provisions.</w:t>
      </w:r>
    </w:p>
    <w:p>
      <w:r>
        <w:rPr>
          <w:rFonts w:ascii="Calibri" w:hAnsi="Calibri"/>
          <w:sz w:val="22"/>
        </w:rPr>
        <w:t>⁴ Presidential Policy Directive 8 (PPD-8), National Preparedness; per Operations Analyst Brief.</w:t>
      </w:r>
    </w:p>
    <w:p>
      <w:r>
        <w:rPr>
          <w:rFonts w:ascii="Calibri" w:hAnsi="Calibri"/>
          <w:sz w:val="22"/>
        </w:rPr>
        <w:t>⁵ Orlando International EMAP accreditation, March 2020 (Airport Improvement: https://airportimprovement.com/article/orlando-international-airport-mco-receives-emergency-management-accreditation/); ATL leadership (https://www.atl.com/about-atl/leadership/augustus-gus-hudson/); LAWA Operations &amp; Emergency Management (https://www.lawa.org/en/groups-and-divisions/operations-and-emergency-management); DEN COO portfolio (Aviation Pros, 2023).</w:t>
      </w:r>
    </w:p>
    <w:p>
      <w:r>
        <w:rPr>
          <w:rFonts w:ascii="Calibri" w:hAnsi="Calibri"/>
          <w:sz w:val="22"/>
        </w:rPr>
        <w:t>⁶ DFW Department of Public Safety. Note: the Stage 1 briefs disagree on MSP's placement — the Airport CEO brief groups MSP with DFW under Public Safety, but the Operations Analyst, COO, and EM Director briefs all place MSP under "Integrated Operations." Following the weight of the briefs, MSP is removed from the comparison.</w:t>
      </w:r>
    </w:p>
    <w:p>
      <w:r>
        <w:rPr>
          <w:rFonts w:ascii="Calibri" w:hAnsi="Calibri"/>
          <w:sz w:val="22"/>
        </w:rPr>
        <w:t>⁷ Atlanta Hartsfield-Jackson power outage, December 17, 2017 — CNBC (https://www.cnbc.com/2017/12/17/atlanta-airport-the-worlds-busiest-reports-power-outage.html); AJC reporting on AATC and the electrical tunnels; Airport Emergency Management Director Brief on AATC and Georgia Power coordination gap.</w:t>
      </w:r>
    </w:p>
    <w:p>
      <w:r>
        <w:rPr>
          <w:rFonts w:ascii="Calibri" w:hAnsi="Calibri"/>
          <w:sz w:val="22"/>
        </w:rPr>
        <w:t>⁸ Delta CrowdStrike outage — NPR, July 31, 2024 (https://www.npr.org/2024/07/31/nx-s1-5058652/delta-crowdstrike-outage-500-million-dollars); American Airlines recovery, CIO Dive reporting.</w:t>
      </w:r>
    </w:p>
    <w:p>
      <w:r>
        <w:rPr>
          <w:rFonts w:ascii="Calibri" w:hAnsi="Calibri"/>
          <w:sz w:val="22"/>
        </w:rPr>
        <w:t>⁹ GAO-23-105203, Airport Power Outages, August 2023 (https://www.gao.gov/products/gao-23-105203).</w:t>
      </w:r>
    </w:p>
    <w:p>
      <w:r>
        <w:rPr>
          <w:rFonts w:ascii="Calibri" w:hAnsi="Calibri"/>
          <w:sz w:val="22"/>
        </w:rPr>
        <w:t xml:space="preserve">¹⁰ NACo, </w:t>
      </w:r>
      <w:r>
        <w:rPr>
          <w:rFonts w:ascii="Calibri" w:hAnsi="Calibri"/>
          <w:i/>
          <w:sz w:val="22"/>
        </w:rPr>
        <w:t>Emergency Management in County Government: A National Survey</w:t>
      </w:r>
      <w:r>
        <w:rPr>
          <w:rFonts w:ascii="Calibri" w:hAnsi="Calibri"/>
          <w:sz w:val="22"/>
        </w:rPr>
        <w:t xml:space="preserve"> (https://www.naco.org/resources/emergency-management-county-government-national-survey) — 46% to elected officials, 44% to county administrator/executive/manager, aggregating to 90% reporting at or near the top of the organization. State EM director comparison per Operations Analyst Brief — 27% direct-to-governor, 59% at a second tier, 14% three or more levels removed.</w:t>
      </w:r>
    </w:p>
    <w:p>
      <w:r>
        <w:rPr>
          <w:rFonts w:ascii="Calibri" w:hAnsi="Calibri"/>
          <w:sz w:val="22"/>
        </w:rPr>
        <w:t xml:space="preserve">¹¹ Argonne National Laboratory / IAEM / NEMA / FEMA, </w:t>
      </w:r>
      <w:r>
        <w:rPr>
          <w:rFonts w:ascii="Calibri" w:hAnsi="Calibri"/>
          <w:i/>
          <w:sz w:val="22"/>
        </w:rPr>
        <w:t>Emergency Management Organizational Structures, Staffing, and Capacity Study</w:t>
      </w:r>
      <w:r>
        <w:rPr>
          <w:rFonts w:ascii="Calibri" w:hAnsi="Calibri"/>
          <w:sz w:val="22"/>
        </w:rPr>
        <w:t>, July 2025 (https://www.anl.gov/dis/npac/EMStudy).</w:t>
      </w:r>
    </w:p>
    <w:p>
      <w:r>
        <w:rPr>
          <w:rFonts w:ascii="Calibri" w:hAnsi="Calibri"/>
          <w:sz w:val="22"/>
        </w:rPr>
        <w:t>¹² NTSB DCA25MA108 final investigation report, January 2026 — NPR coverage.</w:t>
      </w:r>
    </w:p>
    <w:p>
      <w:r>
        <w:rPr>
          <w:rFonts w:ascii="Calibri" w:hAnsi="Calibri"/>
          <w:sz w:val="22"/>
        </w:rPr>
        <w:t>¹³ Civil-defense legacy and PSD-deliverable framing per the Regulatory &amp; Political Analyst Brief.</w:t>
      </w:r>
    </w:p>
    <w:p>
      <w:r>
        <w:rPr>
          <w:rFonts w:ascii="Calibri" w:hAnsi="Calibri"/>
          <w:sz w:val="22"/>
        </w:rPr>
        <w:t>¹⁴ Per the Regulatory &amp; Political Analyst Brief and the Airport Emergency Management Director Brief, the airports transferred from FAA operating control to the newly created Metropolitan Washington Airports Authority in 1987, with the FAA's firefighting branch as the institutional nucleus of Public Safety. The brief record anchors the broader 1987 institutional transfer rather than a specific EM-placement decision. Civil-defense / radio-communications causal claim per the Regulatory &amp; Political Analyst Brief.</w:t>
      </w:r>
    </w:p>
    <w:p>
      <w:r>
        <w:rPr>
          <w:rFonts w:ascii="Calibri" w:hAnsi="Calibri"/>
          <w:sz w:val="22"/>
        </w:rPr>
        <w:t>¹⁵ Operations Analyst Brief and Airport COO Brief — the SMS/EM parallel-program structural conflict and the "both will point at each other" framing.</w:t>
      </w:r>
    </w:p>
    <w:p>
      <w:r>
        <w:rPr>
          <w:rFonts w:ascii="Calibri" w:hAnsi="Calibri"/>
          <w:sz w:val="22"/>
        </w:rPr>
        <w:t>¹⁶ EMAP standard (ANSI/EMAP 5-2022) does not prescribe organizational placement; placement is a stakeholder-engagement enabler. Per Regulatory &amp; Political Analyst, Emergency Management Consultant, and Contrarian Briefs.</w:t>
      </w:r>
    </w:p>
    <w:p>
      <w:r>
        <w:rPr>
          <w:rFonts w:ascii="Calibri" w:hAnsi="Calibri"/>
          <w:sz w:val="22"/>
        </w:rPr>
        <w:t>¹⁷ Augustus Hudson, Senior Deputy General Manager of Operations, Hartsfield-Jackson (https://www.atl.com/about-atl/leadership/augustus-gus-hudson/).</w:t>
      </w:r>
    </w:p>
    <w:p>
      <w:r>
        <w:rPr>
          <w:rFonts w:ascii="Calibri" w:hAnsi="Calibri"/>
          <w:sz w:val="22"/>
        </w:rPr>
        <w:t>¹⁸ LAWA Operations and Emergency Management division — five direct-report divisions including EM, per the Airport CEO Brief. The LAX configuration is similar to but not identical to ATL: at LAX, EM sits peer to operations sub-divisions; at ATL, EM sits peer to PSD under one Senior Deputy GM of Operations.</w:t>
      </w:r>
    </w:p>
    <w:p>
      <w:r>
        <w:rPr>
          <w:rFonts w:ascii="Calibri" w:hAnsi="Calibri"/>
          <w:sz w:val="22"/>
        </w:rPr>
        <w:t>¹⁹ Denver International Airport SVP of Airport Operations portfolio.</w:t>
      </w:r>
    </w:p>
    <w:p>
      <w:r>
        <w:rPr>
          <w:rFonts w:ascii="Calibri" w:hAnsi="Calibri"/>
          <w:sz w:val="22"/>
        </w:rPr>
        <w:t>²⁰ "Underground electrical fire" framing per the Airport Emergency Management Director Brief. The CEO Brief confirms that primary and backup power failed in the same event. The AATC access-control geometry is per the Airport CEO Brief and AJC reporting.</w:t>
      </w:r>
    </w:p>
    <w:p>
      <w:r>
        <w:rPr>
          <w:rFonts w:ascii="Calibri" w:hAnsi="Calibri"/>
          <w:sz w:val="22"/>
        </w:rPr>
        <w:t>²¹ Airport COO Brief — the 90-minute IROPS test.</w:t>
      </w:r>
    </w:p>
    <w:p>
      <w:r>
        <w:rPr>
          <w:rFonts w:ascii="Calibri" w:hAnsi="Calibri"/>
          <w:sz w:val="22"/>
        </w:rPr>
        <w:t>²² Duty-officer architecture per the Airport Emergency Management Director Brief and the Emergency Management Consultant Brief. The Stage 1 record describes the model but does not contain an explicit factual statement that MWAA lacks a 24/7 EM-specific duty officer with EOC-activation authority — the claim is implied by the briefs but should be confirmed against MWAA's current EM operating manuals before publication.</w:t>
      </w:r>
    </w:p>
    <w:p>
      <w:r>
        <w:rPr>
          <w:rFonts w:ascii="Calibri" w:hAnsi="Calibri"/>
          <w:sz w:val="22"/>
        </w:rPr>
        <w:t>²³ Director of Public Safety Brief — command capacity allocation and the structural gap in planning calendar.</w:t>
      </w:r>
    </w:p>
    <w:p>
      <w:r>
        <w:rPr>
          <w:rFonts w:ascii="Calibri" w:hAnsi="Calibri"/>
          <w:sz w:val="22"/>
        </w:rPr>
        <w:t>²⁴ Contrarian Brief; Director of Public Safety Brief — NIMS doctrine on EOC/IC role separation.</w:t>
      </w:r>
    </w:p>
    <w:p>
      <w:r>
        <w:rPr>
          <w:rFonts w:ascii="Calibri" w:hAnsi="Calibri"/>
          <w:sz w:val="22"/>
        </w:rPr>
        <w:t>²⁵ ProPublica reporting on Argonne dataset (https://www.propublica.org/article/emergency-managers-united-states-resource-needs); Saluda County, SC and Yancey County, NC EM director cases.</w:t>
      </w:r>
    </w:p>
    <w:p>
      <w:r>
        <w:rPr>
          <w:rFonts w:ascii="Calibri" w:hAnsi="Calibri"/>
          <w:sz w:val="22"/>
        </w:rPr>
        <w:t>²⁶ GAO-06-746T, testimony on FEMA organizational placement (https://www.gao.gov/assets/a113814.html).</w:t>
      </w:r>
    </w:p>
    <w:p>
      <w:r>
        <w:rPr>
          <w:rFonts w:ascii="Calibri" w:hAnsi="Calibri"/>
          <w:sz w:val="22"/>
        </w:rPr>
        <w:t>²⁷ Contrarian Brief — the "perception cuts both ways" objection.</w:t>
      </w:r>
    </w:p>
    <w:p>
      <w:r>
        <w:rPr>
          <w:rFonts w:ascii="Calibri" w:hAnsi="Calibri"/>
          <w:sz w:val="22"/>
        </w:rPr>
        <w:t>²⁸ Director of Public Safety Brief; Airport COO Brief — the "small incident" framing.</w:t>
      </w:r>
    </w:p>
    <w:p>
      <w:r>
        <w:rPr>
          <w:rFonts w:ascii="Calibri" w:hAnsi="Calibri"/>
          <w:sz w:val="22"/>
        </w:rPr>
        <w:t>²⁹ Operations Analyst Brief; Contrarian Brief — SMS independent reporting channel to the Accountable Executive.</w:t>
      </w:r>
    </w:p>
    <w:p>
      <w:r>
        <w:rPr>
          <w:rFonts w:ascii="Calibri" w:hAnsi="Calibri"/>
          <w:sz w:val="22"/>
        </w:rPr>
        <w:t>³⁰ FEMA NIMS components material on EOC vs. IC role; Emergency Management Consultant Brief and Director of Public Safety Brief on design discipline for the EM/PSD interface in the first 30 minutes.</w:t>
      </w:r>
    </w:p>
    <w:p>
      <w:r>
        <w:rPr>
          <w:rFonts w:ascii="Calibri" w:hAnsi="Calibri"/>
          <w:sz w:val="22"/>
        </w:rPr>
        <w:t>³¹ Emergency Management Consultant Brief — $200K–$300K range benchmarked to a peer-sector VP of Preparedness position before staff and program costs; a director-level position sits below that range.</w:t>
      </w:r>
    </w:p>
    <w:p>
      <w:r>
        <w:rPr>
          <w:rFonts w:ascii="Calibri" w:hAnsi="Calibri"/>
          <w:sz w:val="22"/>
        </w:rPr>
        <w:t>³² Airport CEO Brief — federal grant strategy (FEMA EMPG, BRIC, DHS UASI); Airport Emergency Management Director Brief on dedicated grant-coordination capacity.</w:t>
      </w:r>
    </w:p>
    <w:p>
      <w:r>
        <w:rPr>
          <w:rFonts w:ascii="Calibri" w:hAnsi="Calibri"/>
          <w:sz w:val="22"/>
        </w:rPr>
        <w:t>³³ Contrarian Brief — the year-two budget scenario: $400M capital overrun, 12% overhead cut, VP of Preparedness as softest target.</w:t>
      </w:r>
    </w:p>
    <w:p>
      <w:r>
        <w:rPr>
          <w:rFonts w:ascii="Calibri" w:hAnsi="Calibri"/>
          <w:sz w:val="22"/>
        </w:rPr>
        <w:t>³⁴ Emergency Management Consultant Brief — authority grant as the operative deliverable, not the reporting line alone.</w:t>
      </w:r>
    </w:p>
    <w:p>
      <w:r>
        <w:rPr>
          <w:rFonts w:ascii="Calibri" w:hAnsi="Calibri"/>
          <w:sz w:val="22"/>
        </w:rPr>
        <w:t>³⁵ MWAA Board of Directors composition (https://www.mwaa.com/about-authority/board-directors); 49 U.S.C. §49103.</w:t>
      </w:r>
    </w:p>
    <w:p>
      <w:r>
        <w:rPr>
          <w:rFonts w:ascii="Calibri" w:hAnsi="Calibri"/>
          <w:sz w:val="22"/>
        </w:rPr>
        <w:t>³⁶ Airport CEO Brief — Congressional engagement timeline for DCA incidents; primary-source documentation for specific timing thresholds (e.g., "within two hours") not available in the brief record.</w:t>
      </w:r>
    </w:p>
    <w:p>
      <w:r>
        <w:rPr>
          <w:rFonts w:ascii="Calibri" w:hAnsi="Calibri"/>
          <w:sz w:val="22"/>
        </w:rPr>
        <w:t>³⁷ MWAA Investor Relations, 2024 financial metrics (https://www.mwaa.com/financial-statistics/investor-relations/credit-ratings).</w:t>
      </w:r>
    </w:p>
    <w:p>
      <w:r>
        <w:rPr>
          <w:rFonts w:ascii="Calibri" w:hAnsi="Calibri"/>
          <w:sz w:val="22"/>
        </w:rPr>
        <w:t>³⁸ Airport CEO Brief — the governance clock: nine-of-seventeen board majority briefed before the proposal reaches the agenda.</w:t>
      </w:r>
    </w:p>
    <w:p>
      <w:r>
        <w:rPr>
          <w:rFonts w:ascii="Calibri" w:hAnsi="Calibri"/>
          <w:sz w:val="22"/>
        </w:rPr>
        <w:t>³⁹ MCO began EMAP process in February 2017 and was accredited in 2020 — three-year benchmark per the Operations Analyst, EM Director, and Regulatory &amp; Political Analyst Briefs.</w:t>
      </w:r>
    </w:p>
    <w:p>
      <w:r>
        <w:rPr>
          <w:rFonts w:ascii="Calibri" w:hAnsi="Calibri"/>
          <w:sz w:val="22"/>
        </w:rPr>
        <w:t>⁴⁰ FLL baggage claim shooting, January 6, 2017 — Director of Public Safety Brief and Airport Emergency Management Director Brief, citing the post-incident review that documented three command posts, no unified command, approximately 2,600 officers, and the EOC's inaccessibility inside the security perimeter. The number of responding agencies and the specific terminal of the shooting are not anchored in the Stage 1 brief record.</w:t>
      </w:r>
    </w:p>
    <w:p>
      <w:r>
        <w:rPr>
          <w:rFonts w:ascii="Calibri" w:hAnsi="Calibri"/>
          <w:sz w:val="22"/>
        </w:rPr>
        <w:t>---</w:t>
      </w:r>
    </w:p>
    <w:p>
      <w:r>
        <w:rPr>
          <w:rFonts w:ascii="Calibri" w:hAnsi="Calibri"/>
          <w:i/>
          <w:sz w:val="22"/>
        </w:rPr>
        <w:t>Council Final Draft (Stage 3) | Run: evaluate-arguements-for-stand-alone-emergency-managements | May 2026.</w:t>
      </w:r>
    </w:p>
    <w:p>
      <w:r>
        <w:br w:type="page"/>
      </w:r>
    </w:p>
    <w:p>
      <w:pPr>
        <w:pStyle w:val="Heading1"/>
      </w:pPr>
      <w:r>
        <w:t>Appendix: Methodology</w:t>
      </w:r>
    </w:p>
    <w:p>
      <w:pPr>
        <w:pStyle w:val="Heading1"/>
      </w:pPr>
      <w:r>
        <w:rPr>
          <w:rFonts w:ascii="Calibri" w:hAnsi="Calibri"/>
          <w:sz w:val="32"/>
        </w:rPr>
        <w:t>Methodology</w:t>
      </w:r>
    </w:p>
    <w:p>
      <w:r>
        <w:rPr>
          <w:rFonts w:ascii="Calibri" w:hAnsi="Calibri"/>
          <w:sz w:val="22"/>
        </w:rPr>
        <w:t>This file documents how the Council produces its outputs. It is the source of truth for the methodology appendix that must appear in every published document.</w:t>
      </w:r>
    </w:p>
    <w:p>
      <w:pPr>
        <w:pStyle w:val="Heading2"/>
      </w:pPr>
      <w:r>
        <w:rPr>
          <w:rFonts w:ascii="Calibri" w:hAnsi="Calibri"/>
          <w:sz w:val="28"/>
        </w:rPr>
        <w:t>Why a methodology disclosure</w:t>
      </w:r>
    </w:p>
    <w:p>
      <w:r>
        <w:rPr>
          <w:rFonts w:ascii="Calibri" w:hAnsi="Calibri"/>
          <w:sz w:val="22"/>
        </w:rPr>
        <w:t>An executive-grade piece produced with AI assistance is only credible if the reader understands how it was made. Hiding the method invites suspicion; disclosing it cleanly disarms the objection. The methodology appendix is not a disclaimer. It is a statement of process.</w:t>
      </w:r>
    </w:p>
    <w:p>
      <w:pPr>
        <w:pStyle w:val="Heading2"/>
      </w:pPr>
      <w:r>
        <w:rPr>
          <w:rFonts w:ascii="Calibri" w:hAnsi="Calibri"/>
          <w:sz w:val="28"/>
        </w:rPr>
        <w:t>The canonical appendix</w:t>
      </w:r>
    </w:p>
    <w:p>
      <w:r>
        <w:rPr>
          <w:rFonts w:ascii="Calibri" w:hAnsi="Calibri"/>
          <w:sz w:val="22"/>
        </w:rPr>
        <w:t>Paste this into every final document. Fill the bracketed fields before publishing.</w:t>
      </w:r>
    </w:p>
    <w:p>
      <w:pPr>
        <w:ind w:left="480"/>
      </w:pPr>
      <w:r>
        <w:rPr>
          <w:rFonts w:ascii="Calibri" w:hAnsi="Calibri"/>
          <w:b/>
          <w:i/>
          <w:sz w:val="22"/>
        </w:rPr>
        <w:t>Methodology</w:t>
      </w:r>
      <w:r>
        <w:rPr>
          <w:rFonts w:ascii="Calibri" w:hAnsi="Calibri"/>
          <w:i/>
          <w:sz w:val="22"/>
        </w:rPr>
        <w:t xml:space="preserve">  This document was produced by the Transform Airports AI Council, a multi-agent system operated by [name / role]. The Council consists of twelve specialized agents running on Anthropic's Claude platform:  - </w:t>
      </w:r>
      <w:r>
        <w:rPr>
          <w:rFonts w:ascii="Calibri" w:hAnsi="Calibri"/>
          <w:b/>
          <w:i/>
          <w:sz w:val="22"/>
        </w:rPr>
        <w:t>Eight research agents</w:t>
      </w:r>
      <w:r>
        <w:rPr>
          <w:rFonts w:ascii="Calibri" w:hAnsi="Calibri"/>
          <w:i/>
          <w:sz w:val="22"/>
        </w:rPr>
        <w:t xml:space="preserve"> — Infrastructure Economist, Operations Analyst, Technology Scout, Contrarian, Chief Engineer, Airline Commercial Strategist, Regulatory/Political Analyst, and Aviation Historian — that independently gathered evidence without reading each other's work. - </w:t>
      </w:r>
      <w:r>
        <w:rPr>
          <w:rFonts w:ascii="Calibri" w:hAnsi="Calibri"/>
          <w:b/>
          <w:i/>
          <w:sz w:val="22"/>
        </w:rPr>
        <w:t>A Strategist</w:t>
      </w:r>
      <w:r>
        <w:rPr>
          <w:rFonts w:ascii="Calibri" w:hAnsi="Calibri"/>
          <w:i/>
          <w:sz w:val="22"/>
        </w:rPr>
        <w:t xml:space="preserve"> that synthesized the eight briefs into a single argumentative draft. - </w:t>
      </w:r>
      <w:r>
        <w:rPr>
          <w:rFonts w:ascii="Calibri" w:hAnsi="Calibri"/>
          <w:b/>
          <w:i/>
          <w:sz w:val="22"/>
        </w:rPr>
        <w:t>A Red Team</w:t>
      </w:r>
      <w:r>
        <w:rPr>
          <w:rFonts w:ascii="Calibri" w:hAnsi="Calibri"/>
          <w:i/>
          <w:sz w:val="22"/>
        </w:rPr>
        <w:t xml:space="preserve"> that attacked the Strategist's drafts across multiple revision rounds. - </w:t>
      </w:r>
      <w:r>
        <w:rPr>
          <w:rFonts w:ascii="Calibri" w:hAnsi="Calibri"/>
          <w:b/>
          <w:i/>
          <w:sz w:val="22"/>
        </w:rPr>
        <w:t>An Editor</w:t>
      </w:r>
      <w:r>
        <w:rPr>
          <w:rFonts w:ascii="Calibri" w:hAnsi="Calibri"/>
          <w:i/>
          <w:sz w:val="22"/>
        </w:rPr>
        <w:t xml:space="preserve"> that tightened the final prose without adding new content or claims. - </w:t>
      </w:r>
      <w:r>
        <w:rPr>
          <w:rFonts w:ascii="Calibri" w:hAnsi="Calibri"/>
          <w:b/>
          <w:i/>
          <w:sz w:val="22"/>
        </w:rPr>
        <w:t>A Fact-checker</w:t>
      </w:r>
      <w:r>
        <w:rPr>
          <w:rFonts w:ascii="Calibri" w:hAnsi="Calibri"/>
          <w:i/>
          <w:sz w:val="22"/>
        </w:rPr>
        <w:t xml:space="preserve"> that verified every numerical and attributed claim against the research briefs. Unverifiable claims were removed or flagged for human review.  Total agent runtime: [X] hours. Human review occurred at two checkpoints: after the third Strategist draft and after the Fact-checker's report. Agent definitions are maintained as versioned markdown files and are edited only by human reviewers via pull request — agents do not modify themselves or each other.  The final text was reviewed and approved by [name] before release. AI-assisted production does not reduce human accountability for the arguments and claims in this document.</w:t>
      </w:r>
    </w:p>
    <w:p>
      <w:pPr>
        <w:pStyle w:val="Heading2"/>
      </w:pPr>
      <w:r>
        <w:rPr>
          <w:rFonts w:ascii="Calibri" w:hAnsi="Calibri"/>
          <w:sz w:val="28"/>
        </w:rPr>
        <w:t>Principles behind the design</w:t>
      </w:r>
    </w:p>
    <w:p>
      <w:r>
        <w:rPr>
          <w:rFonts w:ascii="Calibri" w:hAnsi="Calibri"/>
          <w:b/>
          <w:sz w:val="22"/>
        </w:rPr>
        <w:t>Independent research beats coordinated research.</w:t>
      </w:r>
      <w:r>
        <w:rPr>
          <w:rFonts w:ascii="Calibri" w:hAnsi="Calibri"/>
          <w:sz w:val="22"/>
        </w:rPr>
        <w:t xml:space="preserve"> The eight Stage 1 agents do not share a context. They cannot see each other's briefs. Each one argues from a different lens — economics, operations, technology, opposition, engineering, airline commercial strategy, regulation, history — and each has a default stance, not a neutral posture. This forces genuine variance in the evidence pool. A pipeline in which agents share drafts tends to converge early and lose the friction that produces a good final argument.</w:t>
      </w:r>
    </w:p>
    <w:p>
      <w:r>
        <w:rPr>
          <w:rFonts w:ascii="Calibri" w:hAnsi="Calibri"/>
          <w:b/>
          <w:sz w:val="22"/>
        </w:rPr>
        <w:t>Steelmanning is mandatory.</w:t>
      </w:r>
      <w:r>
        <w:rPr>
          <w:rFonts w:ascii="Calibri" w:hAnsi="Calibri"/>
          <w:sz w:val="22"/>
        </w:rPr>
        <w:t xml:space="preserve"> The Contrarian agent is not a token skeptic. Its job is to make the strongest possible case against the thesis. If the Strategist can beat the Contrarian only by ignoring it, the thesis is not ready to publish.</w:t>
      </w:r>
    </w:p>
    <w:p>
      <w:r>
        <w:rPr>
          <w:rFonts w:ascii="Calibri" w:hAnsi="Calibri"/>
          <w:b/>
          <w:sz w:val="22"/>
        </w:rPr>
        <w:t>Adversarial revision is the engine.</w:t>
      </w:r>
      <w:r>
        <w:rPr>
          <w:rFonts w:ascii="Calibri" w:hAnsi="Calibri"/>
          <w:sz w:val="22"/>
        </w:rPr>
        <w:t xml:space="preserve"> The Strategist writes. The Red Team attacks. The Strategist revises. The Red Team attacks again. Each round strips away a layer of unsupported claim or weak rhetoric. Two rounds is enough to catch most problems without exhausting the argument.</w:t>
      </w:r>
    </w:p>
    <w:p>
      <w:r>
        <w:rPr>
          <w:rFonts w:ascii="Calibri" w:hAnsi="Calibri"/>
          <w:b/>
          <w:sz w:val="22"/>
        </w:rPr>
        <w:t>Fact-checking has veto power.</w:t>
      </w:r>
      <w:r>
        <w:rPr>
          <w:rFonts w:ascii="Calibri" w:hAnsi="Calibri"/>
          <w:sz w:val="22"/>
        </w:rPr>
        <w:t xml:space="preserve"> Every number in the final document must trace to a Stage 1 brief. If a claim cannot be traced, it either gets cut or gets marked for human review. No exceptions.</w:t>
      </w:r>
    </w:p>
    <w:p>
      <w:r>
        <w:rPr>
          <w:rFonts w:ascii="Calibri" w:hAnsi="Calibri"/>
          <w:b/>
          <w:sz w:val="22"/>
        </w:rPr>
        <w:t>Version control is the improvement loop.</w:t>
      </w:r>
      <w:r>
        <w:rPr>
          <w:rFonts w:ascii="Calibri" w:hAnsi="Calibri"/>
          <w:sz w:val="22"/>
        </w:rPr>
        <w:t xml:space="preserve"> Agents get better through edits to their markdown files, reviewed and merged by humans. Agents never modify themselves. Agents never modify each other. This sounds slow; it is the only way to keep the system accountable across many runs.</w:t>
      </w:r>
    </w:p>
    <w:p>
      <w:r>
        <w:rPr>
          <w:rFonts w:ascii="Calibri" w:hAnsi="Calibri"/>
          <w:b/>
          <w:sz w:val="22"/>
        </w:rPr>
        <w:t>The final human review is load-bearing.</w:t>
      </w:r>
      <w:r>
        <w:rPr>
          <w:rFonts w:ascii="Calibri" w:hAnsi="Calibri"/>
          <w:sz w:val="22"/>
        </w:rPr>
        <w:t xml:space="preserve"> AI output is 85%. The last 15% is the judgment of the person whose name goes on the document. The Council is a tool for drafting quickly and arguing rigorously. It is not a tool for replacing that judgment.</w:t>
      </w:r>
    </w:p>
    <w:p>
      <w:pPr>
        <w:pStyle w:val="Heading2"/>
      </w:pPr>
      <w:r>
        <w:rPr>
          <w:rFonts w:ascii="Calibri" w:hAnsi="Calibri"/>
          <w:sz w:val="28"/>
        </w:rPr>
        <w:t>What this methodology is not</w:t>
      </w:r>
    </w:p>
    <w:p>
      <w:pPr>
        <w:pStyle w:val="ListBullet"/>
      </w:pPr>
      <w:r>
        <w:rPr>
          <w:rFonts w:ascii="Calibri" w:hAnsi="Calibri"/>
          <w:sz w:val="22"/>
        </w:rPr>
        <w:t>Not an evaluation framework for AI output quality. We do not score agents. We observe their behavior across runs and edit their prompts.</w:t>
      </w:r>
    </w:p>
    <w:p>
      <w:pPr>
        <w:pStyle w:val="ListBullet"/>
      </w:pPr>
      <w:r>
        <w:rPr>
          <w:rFonts w:ascii="Calibri" w:hAnsi="Calibri"/>
          <w:sz w:val="22"/>
        </w:rPr>
        <w:t>Not a guarantee of correctness. The Fact-checker catches numerical mismatches against the briefs. It does not catch errors in the briefs themselves. Primary source review is the reader's responsibility.</w:t>
      </w:r>
    </w:p>
    <w:p>
      <w:pPr>
        <w:pStyle w:val="ListBullet"/>
      </w:pPr>
      <w:r>
        <w:rPr>
          <w:rFonts w:ascii="Calibri" w:hAnsi="Calibri"/>
          <w:sz w:val="22"/>
        </w:rPr>
        <w:t>Not a substitute for a subject-matter author. The Council amplifies a human's argument. It does not replace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