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22222"/>
          <w:sz w:val="40"/>
        </w:rPr>
        <w:t>MEGA-TERMINAL PROGRAMS THAT UNDERPERFORMED: YEAR 1–3 WARNING SIGNS</w:t>
      </w:r>
    </w:p>
    <w:p>
      <w:pPr>
        <w:jc w:val="center"/>
      </w:pPr>
      <w:r>
        <w:rPr>
          <w:rFonts w:ascii="Calibri" w:hAnsi="Calibri"/>
          <w:color w:val="555555"/>
          <w:sz w:val="22"/>
        </w:rPr>
        <w:t>EXECUTIVE  SUMMARY</w:t>
      </w:r>
    </w:p>
    <w:p>
      <w:pPr>
        <w:jc w:val="center"/>
      </w:pPr>
      <w:r>
        <w:rPr>
          <w:rFonts w:ascii="Calibri" w:hAnsi="Calibri"/>
          <w:color w:val="777777"/>
          <w:sz w:val="20"/>
        </w:rPr>
        <w:t>May 2026  ·  Transform Airports AI Council</w:t>
      </w:r>
    </w:p>
    <w:p/>
    <w:p>
      <w:pPr>
        <w:pStyle w:val="Heading1"/>
      </w:pPr>
      <w:r>
        <w:rPr>
          <w:rFonts w:ascii="Calibri" w:hAnsi="Calibri"/>
          <w:sz w:val="32"/>
        </w:rPr>
        <w:t>The Architecture of Silence</w:t>
      </w:r>
    </w:p>
    <w:p>
      <w:pPr>
        <w:pStyle w:val="Heading2"/>
      </w:pPr>
      <w:r>
        <w:rPr>
          <w:rFonts w:ascii="Calibri" w:hAnsi="Calibri"/>
          <w:sz w:val="28"/>
        </w:rPr>
        <w:t>Mega-Terminal Programs That Underperformed, and the Warning Signs That Were Already in the Room</w:t>
      </w:r>
    </w:p>
    <w:p>
      <w:r>
        <w:rPr>
          <w:rFonts w:ascii="Calibri" w:hAnsi="Calibri"/>
          <w:sz w:val="22"/>
        </w:rPr>
        <w:t>---</w:t>
      </w:r>
    </w:p>
    <w:p>
      <w:pPr>
        <w:pStyle w:val="Heading2"/>
      </w:pPr>
      <w:r>
        <w:rPr>
          <w:rFonts w:ascii="Calibri" w:hAnsi="Calibri"/>
          <w:sz w:val="28"/>
        </w:rPr>
        <w:t>Executive Preface</w:t>
      </w:r>
    </w:p>
    <w:p>
      <w:r>
        <w:rPr>
          <w:rFonts w:ascii="Calibri" w:hAnsi="Calibri"/>
          <w:sz w:val="22"/>
        </w:rPr>
        <w:t>The four leading indicators every post-mortem itemizes — scope creep without re-baselining, integrated systems testing compressed to protect a fixed opening date, owner-engineer role confusion, optimism bias in the business case — appear in nearly every documented mega-terminal failure. They also appear in nearly every megaproject that opened well. Bent Flyvbjerg's database of over 16,000 projects finds that only 8.5% meet time and budget targets. The signals are universal at the design phase. They are not, by themselves, predictors. What predicts the outcome is whether the institution receiving the signal has the standing to act on it — whether someone with operational accountability and board-level authority can refuse a political opening date that the systems work cannot meet.</w:t>
      </w:r>
    </w:p>
    <w:p>
      <w:pPr>
        <w:pStyle w:val="Heading2"/>
      </w:pPr>
      <w:r>
        <w:rPr>
          <w:rFonts w:ascii="Calibri" w:hAnsi="Calibri"/>
          <w:sz w:val="28"/>
        </w:rPr>
        <w:t>The Argument</w:t>
      </w:r>
    </w:p>
    <w:p>
      <w:r>
        <w:rPr>
          <w:rFonts w:ascii="Calibri" w:hAnsi="Calibri"/>
          <w:sz w:val="22"/>
        </w:rPr>
        <w:t>Sit with the institutional question. Denver received five technically qualified warnings that its plan would fail, during the period when corrective action was still possible. The signals were not invisible. They were visible and ignored.</w:t>
      </w:r>
    </w:p>
    <w:p>
      <w:pPr>
        <w:pStyle w:val="Heading2"/>
      </w:pPr>
      <w:r>
        <w:rPr>
          <w:rFonts w:ascii="Calibri" w:hAnsi="Calibri"/>
          <w:sz w:val="28"/>
        </w:rPr>
        <w:t>The Counter-Case, Honestly Presented</w:t>
      </w:r>
    </w:p>
    <w:p>
      <w:r>
        <w:rPr>
          <w:rFonts w:ascii="Calibri" w:hAnsi="Calibri"/>
          <w:sz w:val="22"/>
        </w:rPr>
        <w:t>A serious reader should not leave without seeing this argument's weakest joints. There are four.</w:t>
      </w:r>
    </w:p>
    <w:p>
      <w:pPr>
        <w:pStyle w:val="Heading2"/>
      </w:pPr>
      <w:r>
        <w:rPr>
          <w:rFonts w:ascii="Calibri" w:hAnsi="Calibri"/>
          <w:sz w:val="28"/>
        </w:rPr>
        <w:t>Why the Counter-Case Is Insufficient</w:t>
      </w:r>
    </w:p>
    <w:p>
      <w:r>
        <w:rPr>
          <w:rFonts w:ascii="Calibri" w:hAnsi="Calibri"/>
          <w:sz w:val="22"/>
        </w:rPr>
        <w:t>They do.</w:t>
      </w:r>
    </w:p>
    <w:p>
      <w:r>
        <w:rPr>
          <w:rFonts w:ascii="Calibri" w:hAnsi="Calibri"/>
          <w:sz w:val="22"/>
        </w:rPr>
        <w:t>The optimism-bias objection forces the hardest concession. Optimism bias is structural. Airport executives cannot raise the PFC, cannot control CBP staffing, cannot freeze TSA checkpoint standards, and cannot eliminate the political pressure for opening dates. They can choose their own governance architecture. They can choose whether the use-and-lease is renegotiated before the bond is issued. They can choose whether ORAT is a budget line with a two-year horizon or a schedule activity that gets compressed when construction slips. They can choose whether integrated systems testing is built into a contractual covenant the program manager cannot waive under schedule pressure. Reference-class forecasting — Flyvbjerg's method, which applies the base rate of comparable projects to your project's estimate — was adopted by the UK Treasury more than fifteen years ago [UNVERIFIED — HUMAN REVIEW]. Almost no US airport uses it. A board that knows its business case is optimistic and does nothing structural to compensate is choosing to walk into the predictable failure.</w:t>
      </w:r>
    </w:p>
    <w:p>
      <w:pPr>
        <w:pStyle w:val="Heading2"/>
      </w:pPr>
      <w:r>
        <w:rPr>
          <w:rFonts w:ascii="Calibri" w:hAnsi="Calibri"/>
          <w:sz w:val="28"/>
        </w:rPr>
        <w:t>Implications for MWAA and the Dulles Transformation</w:t>
      </w:r>
    </w:p>
    <w:p>
      <w:r>
        <w:rPr>
          <w:rFonts w:ascii="Calibri" w:hAnsi="Calibri"/>
          <w:sz w:val="22"/>
        </w:rPr>
        <w:t>This essay was commissioned by the operator of one of the largest forthcoming capital programs in US aviation. The Metropolitan Washington Airports Authority is the right case to apply the argument to, and the choice is not arbitrary. Three reasons.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