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FUTURE-PROOFING THE DULLES TERMINAL REBUILD</w:t>
      </w:r>
    </w:p>
    <w:p>
      <w:pPr>
        <w:jc w:val="center"/>
      </w:pPr>
      <w:r>
        <w:rPr>
          <w:rFonts w:ascii="Calibri" w:hAnsi="Calibri"/>
          <w:color w:val="555555"/>
          <w:sz w:val="22"/>
        </w:rPr>
        <w:t>EXECUTIVE  SUMMARY</w:t>
      </w:r>
    </w:p>
    <w:p>
      <w:pPr>
        <w:jc w:val="center"/>
      </w:pPr>
      <w:r>
        <w:rPr>
          <w:rFonts w:ascii="Calibri" w:hAnsi="Calibri"/>
          <w:color w:val="777777"/>
          <w:sz w:val="20"/>
        </w:rPr>
        <w:t>July 2026  ·  Transform Airports AI Council</w:t>
      </w:r>
    </w:p>
    <w:p/>
    <w:p>
      <w:pPr>
        <w:pStyle w:val="Heading1"/>
      </w:pPr>
      <w:r>
        <w:rPr>
          <w:rFonts w:ascii="Calibri" w:hAnsi="Calibri"/>
          <w:sz w:val="32"/>
        </w:rPr>
        <w:t>The Stopwatch and the Shell: What Actually Survives to 2050 at Dulles</w:t>
      </w:r>
    </w:p>
    <w:p>
      <w:r>
        <w:rPr>
          <w:rFonts w:ascii="Calibri" w:hAnsi="Calibri"/>
          <w:i/>
          <w:sz w:val="22"/>
        </w:rPr>
        <w:t>A Transform Airports AI Council report on the $22 billion Dulles rebuild</w:t>
      </w:r>
    </w:p>
    <w:p>
      <w:pPr>
        <w:pStyle w:val="Heading2"/>
      </w:pPr>
      <w:r>
        <w:rPr>
          <w:rFonts w:ascii="Calibri" w:hAnsi="Calibri"/>
          <w:sz w:val="28"/>
        </w:rPr>
        <w:t>Executive summary</w:t>
      </w:r>
    </w:p>
    <w:p>
      <w:pPr>
        <w:pStyle w:val="ListNumber"/>
      </w:pPr>
      <w:r>
        <w:rPr>
          <w:rFonts w:ascii="Calibri" w:hAnsi="Calibri"/>
          <w:b/>
          <w:sz w:val="22"/>
        </w:rPr>
        <w:t>Dulles is spending its cheapest asset to buy the most expensive kind of certainty.</w:t>
      </w:r>
      <w:r>
        <w:rPr>
          <w:rFonts w:ascii="Calibri" w:hAnsi="Calibri"/>
          <w:sz w:val="22"/>
        </w:rPr>
        <w:t xml:space="preserve"> The airport ran a cost-per-enplanement of $9.56 in FY2025, among the three or four cheapest US large hubs, in a field running from $3.94 at Atlanta to $30.16 at LAX [Source: https://dwuconsulting.com/airports/iad] [Source: https://dwuconsulting.com/airport-finance/large-hub/cpe] [FACT-CHECK: the $9.56 figure is compiled from MWAA filings by a secondary aggregator, not read from the audited ACFR — verify against the ACFR before board use]. The program — $21.8 billion in new bonds — would issue four to five times MWAA's entire existing $4.7–4.9 billion aviation-enterprise debt against that advantage [Source: https://dwuconsulting.com/dwu-ai/dulles-rfi-analysis]. Any future-proofing move that permanently raises CPE is not future-proofing. It is spending the airport's core commercial asset.</w:t>
      </w:r>
    </w:p>
    <w:p>
      <w:pPr>
        <w:pStyle w:val="Heading2"/>
      </w:pPr>
      <w:r>
        <w:rPr>
          <w:rFonts w:ascii="Calibri" w:hAnsi="Calibri"/>
          <w:sz w:val="28"/>
        </w:rPr>
        <w:t>The argument</w:t>
      </w:r>
    </w:p>
    <w:p>
      <w:r>
        <w:rPr>
          <w:rFonts w:ascii="Calibri" w:hAnsi="Calibri"/>
          <w:sz w:val="22"/>
        </w:rPr>
        <w:t>Before the renderings, a single figure should sit at the head of the table: $9.56. That is what it cost an airline, per enplaned passenger, to operate at Dulles in FY2025 [Source: https://dwuconsulting.com/airports/iad]. Across US large hubs, cost-per-enplanement runs from $3.94 at Atlanta to $30.16 at LAX and $29.56 at O'Hare [Source: https://dwuconsulting.com/airport-finance/large-hub/cpe]. Dulles sits near the cheap end. That is not an accident of accounting. It is the airport's defining commercial asset, and the reason it remains, in United's own capital math, worth flying.</w:t>
      </w:r>
    </w:p>
    <w:p>
      <w:pPr>
        <w:pStyle w:val="Heading2"/>
      </w:pPr>
      <w:r>
        <w:rPr>
          <w:rFonts w:ascii="Calibri" w:hAnsi="Calibri"/>
          <w:sz w:val="28"/>
        </w:rPr>
        <w:t>The counter-case, honestly presented</w:t>
      </w:r>
    </w:p>
    <w:p>
      <w:r>
        <w:rPr>
          <w:rFonts w:ascii="Calibri" w:hAnsi="Calibri"/>
          <w:sz w:val="22"/>
        </w:rPr>
        <w:t>There is a serious argument that the thesis, even in this disciplined form, buys expensive optionality against changes that are unproven, slow, and — where they have been available for decades — chronically failing to scale. A planner who believed it would build the conventional thing superbly and pocket the difference.</w:t>
      </w:r>
    </w:p>
    <w:p>
      <w:pPr>
        <w:pStyle w:val="Heading2"/>
      </w:pPr>
      <w:r>
        <w:rPr>
          <w:rFonts w:ascii="Calibri" w:hAnsi="Calibri"/>
          <w:sz w:val="28"/>
        </w:rPr>
        <w:t>Why the counter-case is insufficient</w:t>
      </w:r>
    </w:p>
    <w:p>
      <w:r>
        <w:rPr>
          <w:rFonts w:ascii="Calibri" w:hAnsi="Calibri"/>
          <w:sz w:val="22"/>
        </w:rPr>
        <w:t>The counter-case is not wrong. In several places it is more right than the reflexive version of the thesis, and the honest move is to concede those places by name.</w:t>
      </w:r>
    </w:p>
    <w:p>
      <w:pPr>
        <w:pStyle w:val="Heading2"/>
      </w:pPr>
      <w:r>
        <w:rPr>
          <w:rFonts w:ascii="Calibri" w:hAnsi="Calibri"/>
          <w:sz w:val="28"/>
        </w:rPr>
        <w:t>Two dated snapshots: the terminal in 2035 and in 2050</w:t>
      </w:r>
    </w:p>
    <w:p>
      <w:r>
        <w:rPr>
          <w:rFonts w:ascii="Calibri" w:hAnsi="Calibri"/>
          <w:sz w:val="22"/>
        </w:rPr>
        <w:t>Leadership needs the ten-year and twenty-five-year pictures distinct, not blurred into an average.</w:t>
      </w:r>
    </w:p>
    <w:p>
      <w:pPr>
        <w:pStyle w:val="Heading2"/>
      </w:pPr>
      <w:r>
        <w:rPr>
          <w:rFonts w:ascii="Calibri" w:hAnsi="Calibri"/>
          <w:sz w:val="28"/>
        </w:rPr>
        <w:t>The commercial model, and the honest limits of the evidence</w:t>
      </w:r>
    </w:p>
    <w:p>
      <w:r>
        <w:rPr>
          <w:rFonts w:ascii="Calibri" w:hAnsi="Calibri"/>
          <w:sz w:val="22"/>
        </w:rPr>
        <w:t xml:space="preserve">A $21.8 billion bond program is serviced by aeronautical </w:t>
      </w:r>
      <w:r>
        <w:rPr>
          <w:rFonts w:ascii="Calibri" w:hAnsi="Calibri"/>
          <w:i/>
          <w:sz w:val="22"/>
        </w:rPr>
        <w:t>and</w:t>
      </w:r>
      <w:r>
        <w:rPr>
          <w:rFonts w:ascii="Calibri" w:hAnsi="Calibri"/>
          <w:sz w:val="22"/>
        </w:rPr>
        <w:t xml:space="preserve"> non-aeronautical revenue, and the durability of the revenue model — retail, dwell, parking — is a structural question precisely because the debt is multi-decade. If processing time compresses and journeys personalize, dwell does not vanish; it relocates. The check-in halls that empty as counters disappear are the most convertible revenue space in the building — dwell, lounge, and concession floor that can be captured if the geometry allows it and stranded if it does not. One more reason to leave the landside processing zone soft rather than hard-walled.</w:t>
      </w:r>
    </w:p>
    <w:p>
      <w:pPr>
        <w:pStyle w:val="Heading2"/>
      </w:pPr>
      <w:r>
        <w:rPr>
          <w:rFonts w:ascii="Calibri" w:hAnsi="Calibri"/>
          <w:sz w:val="28"/>
        </w:rPr>
        <w:t>Sustainability as a physical constraint, not an aspiration</w:t>
      </w:r>
    </w:p>
    <w:p>
      <w:r>
        <w:rPr>
          <w:rFonts w:ascii="Calibri" w:hAnsi="Calibri"/>
          <w:sz w:val="22"/>
        </w:rPr>
        <w:t xml:space="preserve">Decarbonization makes physical demands of a terminal expected to run in 2050, and the cheap-now/ruinous-later asymmetry applies with full force. Electrified ground-support equipment is not an operations line item. It is a substation, transformer-vault, and conduit decision in the durable layer, and real deployments are large: Sea-Tac installed 576 electric charging locations across all concourses [Source: https://xantrex.com/about-xantrex/blog/work-truck/evaluating-gse-electrification-strategies-choosing-the-right-approach-for-airports/]. Fully electrified three-shift GSE implies charging windows that today's Level 2 chargers — roughly eight hours — cannot serve, so the apron must be provisioned for fast-charge </w:t>
      </w:r>
      <w:r>
        <w:rPr>
          <w:rFonts w:ascii="Calibri" w:hAnsi="Calibri"/>
          <w:i/>
          <w:sz w:val="22"/>
        </w:rPr>
        <w:t>power density</w:t>
      </w:r>
      <w:r>
        <w:rPr>
          <w:rFonts w:ascii="Calibri" w:hAnsi="Calibri"/>
          <w:sz w:val="22"/>
        </w:rPr>
        <w:t>, not merely outlets. Thermal-load headroom in the electrical backbone is among the cheapest things to overbuild in new structure and the most expensive to add to a finished apron [Source: https://xantrex.com/about-xantrex/blog/work-truck/evaluating-gse-electrification-strategies-choosing-the-right-approach-for-airports/].</w:t>
      </w:r>
    </w:p>
    <w:p>
      <w:pPr>
        <w:pStyle w:val="Heading2"/>
      </w:pPr>
      <w:r>
        <w:rPr>
          <w:rFonts w:ascii="Calibri" w:hAnsi="Calibri"/>
          <w:sz w:val="28"/>
        </w:rPr>
        <w:t>Implications for MWAA and the Dulles program</w:t>
      </w:r>
    </w:p>
    <w:p>
      <w:r>
        <w:rPr>
          <w:rFonts w:ascii="Calibri" w:hAnsi="Calibri"/>
          <w:sz w:val="22"/>
        </w:rPr>
        <w:t>This is not a generic terminal. It is a specific program with named packages, a named anchor tenant, a named federal sponsor, and a compressed schedule, and the framework has to survive contact with all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